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432" w:rsidRDefault="00117432" w:rsidP="00C50B1E">
      <w:pPr>
        <w:pStyle w:val="Title"/>
        <w:framePr w:hSpace="0" w:wrap="auto" w:vAnchor="margin" w:hAnchor="text" w:yAlign="inline"/>
        <w:jc w:val="center"/>
        <w:rPr>
          <w:rFonts w:ascii="Calibri" w:hAnsi="Calibri" w:cs="Calibri"/>
          <w:b w:val="0"/>
          <w:bCs w:val="0"/>
          <w:sz w:val="36"/>
          <w:szCs w:val="36"/>
          <w:lang w:val="ro-RO"/>
        </w:rPr>
      </w:pPr>
    </w:p>
    <w:p w:rsidR="00117432" w:rsidRPr="008B1141" w:rsidRDefault="00117432" w:rsidP="00C50B1E">
      <w:pPr>
        <w:pStyle w:val="Title"/>
        <w:framePr w:hSpace="0" w:wrap="auto" w:vAnchor="margin" w:hAnchor="text" w:yAlign="inline"/>
        <w:jc w:val="center"/>
        <w:rPr>
          <w:rFonts w:ascii="Times New Roman" w:hAnsi="Times New Roman" w:cs="Times New Roman"/>
          <w:sz w:val="30"/>
          <w:szCs w:val="30"/>
          <w:lang w:val="ro-RO"/>
        </w:rPr>
      </w:pPr>
      <w:r w:rsidRPr="008B1141">
        <w:rPr>
          <w:rFonts w:ascii="Times New Roman" w:hAnsi="Times New Roman" w:cs="Times New Roman"/>
          <w:sz w:val="30"/>
          <w:szCs w:val="30"/>
          <w:lang w:val="ro-RO"/>
        </w:rPr>
        <w:t xml:space="preserve">Politica de Remunerare </w:t>
      </w:r>
    </w:p>
    <w:p w:rsidR="00117432" w:rsidRDefault="00117432" w:rsidP="00C50B1E">
      <w:pPr>
        <w:pStyle w:val="Title"/>
        <w:framePr w:hSpace="0" w:wrap="auto" w:vAnchor="margin" w:hAnchor="text" w:yAlign="inline"/>
        <w:jc w:val="center"/>
        <w:rPr>
          <w:rFonts w:ascii="Times New Roman" w:hAnsi="Times New Roman" w:cs="Times New Roman"/>
          <w:sz w:val="28"/>
          <w:szCs w:val="28"/>
          <w:lang w:val="ro-RO"/>
        </w:rPr>
      </w:pPr>
    </w:p>
    <w:p w:rsidR="00117432" w:rsidRDefault="00117432" w:rsidP="00C50B1E">
      <w:pPr>
        <w:pStyle w:val="Title"/>
        <w:framePr w:hSpace="0" w:wrap="auto" w:vAnchor="margin" w:hAnchor="text" w:yAlign="inline"/>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a Administratorilor si a Directorilor cu Contract de mandat </w:t>
      </w:r>
    </w:p>
    <w:p w:rsidR="00117432" w:rsidRPr="00C4229D" w:rsidRDefault="00117432" w:rsidP="00C50B1E">
      <w:pPr>
        <w:pStyle w:val="Title"/>
        <w:framePr w:hSpace="0" w:wrap="auto" w:vAnchor="margin" w:hAnchor="text" w:yAlign="inline"/>
        <w:jc w:val="center"/>
        <w:rPr>
          <w:rFonts w:ascii="Times New Roman" w:hAnsi="Times New Roman" w:cs="Times New Roman"/>
          <w:sz w:val="28"/>
          <w:szCs w:val="28"/>
          <w:lang w:val="ro-RO"/>
        </w:rPr>
      </w:pPr>
      <w:r w:rsidRPr="00C4229D">
        <w:rPr>
          <w:rFonts w:ascii="Times New Roman" w:hAnsi="Times New Roman" w:cs="Times New Roman"/>
          <w:sz w:val="28"/>
          <w:szCs w:val="28"/>
          <w:lang w:val="ro-RO"/>
        </w:rPr>
        <w:t xml:space="preserve">a societatii </w:t>
      </w:r>
      <w:r>
        <w:rPr>
          <w:rFonts w:ascii="Times New Roman" w:hAnsi="Times New Roman" w:cs="Times New Roman"/>
          <w:sz w:val="28"/>
          <w:szCs w:val="28"/>
          <w:lang w:val="ro-RO"/>
        </w:rPr>
        <w:t>UTILAJ GREU S.A. Murfatlar</w:t>
      </w:r>
    </w:p>
    <w:p w:rsidR="00117432" w:rsidRPr="00C4229D" w:rsidRDefault="00117432" w:rsidP="00C50B1E">
      <w:pPr>
        <w:pStyle w:val="Title"/>
        <w:framePr w:hSpace="0" w:wrap="auto" w:vAnchor="margin" w:hAnchor="text" w:yAlign="inline"/>
        <w:jc w:val="both"/>
        <w:rPr>
          <w:rFonts w:ascii="Times New Roman" w:hAnsi="Times New Roman" w:cs="Times New Roman"/>
          <w:b w:val="0"/>
          <w:bCs w:val="0"/>
          <w:sz w:val="24"/>
          <w:szCs w:val="24"/>
          <w:lang w:val="ro-RO"/>
        </w:rPr>
      </w:pPr>
    </w:p>
    <w:p w:rsidR="00117432" w:rsidRPr="00C4229D" w:rsidRDefault="00117432" w:rsidP="00C50B1E">
      <w:pPr>
        <w:spacing w:line="240" w:lineRule="auto"/>
        <w:jc w:val="both"/>
        <w:rPr>
          <w:rFonts w:ascii="Times New Roman" w:hAnsi="Times New Roman" w:cs="Times New Roman"/>
          <w:sz w:val="24"/>
          <w:szCs w:val="24"/>
        </w:rPr>
      </w:pPr>
    </w:p>
    <w:p w:rsidR="00117432" w:rsidRPr="00C4229D" w:rsidRDefault="00117432" w:rsidP="00C50B1E">
      <w:pPr>
        <w:spacing w:line="240" w:lineRule="auto"/>
        <w:jc w:val="both"/>
        <w:rPr>
          <w:rFonts w:ascii="Times New Roman" w:hAnsi="Times New Roman" w:cs="Times New Roman"/>
          <w:b/>
          <w:bCs/>
          <w:sz w:val="24"/>
          <w:szCs w:val="24"/>
          <w:u w:val="single"/>
        </w:rPr>
      </w:pPr>
      <w:r w:rsidRPr="00C4229D">
        <w:rPr>
          <w:rFonts w:ascii="Times New Roman" w:hAnsi="Times New Roman" w:cs="Times New Roman"/>
          <w:b/>
          <w:bCs/>
          <w:sz w:val="24"/>
          <w:szCs w:val="24"/>
          <w:u w:val="single"/>
        </w:rPr>
        <w:t>Consideraţii generale</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 xml:space="preserve">Această politică descrie abordarea formală utilizată de </w:t>
      </w:r>
      <w:r>
        <w:rPr>
          <w:rFonts w:ascii="Times New Roman" w:hAnsi="Times New Roman" w:cs="Times New Roman"/>
          <w:sz w:val="24"/>
          <w:szCs w:val="24"/>
        </w:rPr>
        <w:t xml:space="preserve">societatea Utilaj Greu S.A. Murfatlar </w:t>
      </w:r>
      <w:r w:rsidRPr="00C4229D">
        <w:rPr>
          <w:rFonts w:ascii="Times New Roman" w:hAnsi="Times New Roman" w:cs="Times New Roman"/>
          <w:sz w:val="24"/>
          <w:szCs w:val="24"/>
        </w:rPr>
        <w:t>(denumită în continuare „Compania”) pentru a stabili remunerația directorilor executivi cu contract de mandat şi a membrilor Consiliului său de Administrație</w:t>
      </w:r>
      <w:r>
        <w:rPr>
          <w:rFonts w:ascii="Times New Roman" w:hAnsi="Times New Roman" w:cs="Times New Roman"/>
          <w:sz w:val="24"/>
          <w:szCs w:val="24"/>
        </w:rPr>
        <w:t>/Administratorului Unic</w:t>
      </w:r>
      <w:r w:rsidRPr="00C4229D">
        <w:rPr>
          <w:rFonts w:ascii="Times New Roman" w:hAnsi="Times New Roman" w:cs="Times New Roman"/>
          <w:sz w:val="24"/>
          <w:szCs w:val="24"/>
        </w:rPr>
        <w:t>, ȋn conformitate cu prevederile Legii nr.24/2017 privind emitentii de instrumente fiananciare si operatiuni de piata, cu modificări şi completări ulterioare.</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Scopul acestei politici este de a oferi o imagine de ansamblu transparentă a principiilor și metodelor de remunerare utilizate de Companie pentru a asigura atragerea, păstrarea și motivarea profesioniştilor de top, Compania definind astfel un sistem de management prin obiective.</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Politica privind remunerarea reprezintă cadrul general stabilit de Adunarea Generală Ordinară a Acționarilor, pe care Compania o pune în aplicare și privește modul de remunerare a directorilor executivi cu contract de mandat şi a administratorilor, care corespunde strategiei de afaceri, obiectivelor, valorilor şi intereselor pe termen lung ale Societăţii.</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Compania poziţionează remunerația și motivația conducătorilor pentru atingerea obiectivelor în centrul strategiei sale pe termen lung, dat fiind că operează pe o piață extrem de competitivă.</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Politica de remunerare explică procesul de luare a deciziilor care conduce la stabilirea, revizuirea şi punerea în aplicare a acesteia, inclusiv măsuri pentru evitarea conflictelor de interese (</w:t>
      </w:r>
      <w:r w:rsidRPr="00C4229D">
        <w:rPr>
          <w:rFonts w:ascii="Times New Roman" w:hAnsi="Times New Roman" w:cs="Times New Roman"/>
          <w:i/>
          <w:iCs/>
          <w:sz w:val="24"/>
          <w:szCs w:val="24"/>
        </w:rPr>
        <w:t>şi, după caz, rolul comitetului de remunerare sau al altor comitete implicate).</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Politica de remunerare prezintă modul în care s-a ţinut cont de remuneraţiile şi condiţiile de angajare ale angajaţilor emitentului, cu ocazia stabilirii politicii de remunerare.</w:t>
      </w:r>
    </w:p>
    <w:p w:rsidR="00117432" w:rsidRPr="00C4229D" w:rsidRDefault="00117432" w:rsidP="00C50B1E">
      <w:pPr>
        <w:spacing w:before="240" w:line="240" w:lineRule="auto"/>
        <w:jc w:val="both"/>
        <w:rPr>
          <w:rFonts w:ascii="Times New Roman" w:hAnsi="Times New Roman" w:cs="Times New Roman"/>
          <w:b/>
          <w:bCs/>
          <w:sz w:val="24"/>
          <w:szCs w:val="24"/>
          <w:u w:val="single"/>
        </w:rPr>
      </w:pPr>
      <w:r w:rsidRPr="00C4229D">
        <w:rPr>
          <w:rFonts w:ascii="Times New Roman" w:hAnsi="Times New Roman" w:cs="Times New Roman"/>
          <w:b/>
          <w:bCs/>
          <w:sz w:val="24"/>
          <w:szCs w:val="24"/>
          <w:u w:val="single"/>
        </w:rPr>
        <w:t>Principiile fundamentale</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Coerenţă strategică – schemele de remunerare trebuie să fie aliniate cu strategia pe termen lung a Companiei și cu elementele acesteia pe termen scurt, asigurând un echilibrul între remunerația actionarilor și cea a conducătorilor/echipei de conducere a Companiei.</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Sustenabilitate – remuneraţia trebuie să stimuleze motivația pe termen mediu și lung şi să nu fie concentrată excesiv pe realizarea câștigurilor pe termen scurt și nesustenabile.</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Orientarea spre performanță – remuneraţia trebuie stabilită în conformitate cu performanța relevantă, permițând Companiei să atragă și să păstreze profesioniştii de top şi recompensarea îndeplinirii obiectivelor.</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Relevanța pieței – recompensa trebuie determinată în contextul condiţiilor de piață în care operează Compania, pentru a asigura competitivitatea și eficiența recrutării.</w:t>
      </w:r>
    </w:p>
    <w:p w:rsidR="00117432" w:rsidRDefault="00117432" w:rsidP="00C50B1E">
      <w:pPr>
        <w:spacing w:line="240" w:lineRule="auto"/>
        <w:jc w:val="both"/>
        <w:rPr>
          <w:rFonts w:ascii="Times New Roman" w:hAnsi="Times New Roman" w:cs="Times New Roman"/>
          <w:sz w:val="24"/>
          <w:szCs w:val="24"/>
        </w:rPr>
      </w:pP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Transparență – dinamica și logica schemelor de remunerare trebuie să fie concepute având în vedere simplitatea și să vizeze înțelegerea deplină de către toți utilizatorii de informații interni și externi, inclusiv promovarea transparenței privind remunerarea și criteriile de stabilire a acesteia.</w:t>
      </w:r>
    </w:p>
    <w:p w:rsidR="00117432" w:rsidRPr="00C4229D" w:rsidRDefault="00117432" w:rsidP="00C50B1E">
      <w:pPr>
        <w:spacing w:line="240" w:lineRule="auto"/>
        <w:jc w:val="both"/>
        <w:rPr>
          <w:rFonts w:ascii="Times New Roman" w:hAnsi="Times New Roman" w:cs="Times New Roman"/>
          <w:b/>
          <w:bCs/>
          <w:sz w:val="24"/>
          <w:szCs w:val="24"/>
          <w:u w:val="single"/>
        </w:rPr>
      </w:pPr>
      <w:r w:rsidRPr="00C4229D">
        <w:rPr>
          <w:rFonts w:ascii="Times New Roman" w:hAnsi="Times New Roman" w:cs="Times New Roman"/>
          <w:b/>
          <w:bCs/>
          <w:sz w:val="24"/>
          <w:szCs w:val="24"/>
          <w:u w:val="single"/>
        </w:rPr>
        <w:t xml:space="preserve">Aprobarea Politicii de remunerare </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Compania a stabilit o politică de remunerare în ceea ce priveşte conducătorii cu privire la care acţionarii au dreptul de a vota şi aproba în cadrul Adunării Generale Ordinare a Acţionarilor.</w:t>
      </w:r>
    </w:p>
    <w:tbl>
      <w:tblPr>
        <w:tblW w:w="977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3114"/>
        <w:gridCol w:w="1701"/>
        <w:gridCol w:w="1418"/>
        <w:gridCol w:w="3543"/>
      </w:tblGrid>
      <w:tr w:rsidR="00117432" w:rsidRPr="001B4780">
        <w:trPr>
          <w:jc w:val="center"/>
        </w:trPr>
        <w:tc>
          <w:tcPr>
            <w:tcW w:w="3114" w:type="dxa"/>
            <w:tcBorders>
              <w:right w:val="nil"/>
            </w:tcBorders>
            <w:vAlign w:val="center"/>
          </w:tcPr>
          <w:p w:rsidR="00117432" w:rsidRPr="001B4780" w:rsidRDefault="00117432" w:rsidP="001B4780">
            <w:pPr>
              <w:spacing w:after="0" w:line="240" w:lineRule="auto"/>
              <w:jc w:val="center"/>
              <w:rPr>
                <w:rFonts w:ascii="Times New Roman" w:hAnsi="Times New Roman" w:cs="Times New Roman"/>
                <w:b/>
                <w:bCs/>
                <w:noProof/>
                <w:sz w:val="24"/>
                <w:szCs w:val="24"/>
                <w:lang w:eastAsia="ja-JP"/>
              </w:rPr>
            </w:pPr>
          </w:p>
        </w:tc>
        <w:tc>
          <w:tcPr>
            <w:tcW w:w="1701" w:type="dxa"/>
            <w:tcBorders>
              <w:left w:val="nil"/>
              <w:right w:val="nil"/>
            </w:tcBorders>
            <w:shd w:val="clear" w:color="auto" w:fill="A5A5A5"/>
            <w:vAlign w:val="center"/>
          </w:tcPr>
          <w:p w:rsidR="00117432" w:rsidRPr="001B4780" w:rsidRDefault="00117432" w:rsidP="001B4780">
            <w:pPr>
              <w:spacing w:after="0" w:line="240" w:lineRule="auto"/>
              <w:jc w:val="center"/>
              <w:rPr>
                <w:rFonts w:ascii="Times New Roman" w:hAnsi="Times New Roman" w:cs="Times New Roman"/>
                <w:b/>
                <w:bCs/>
                <w:noProof/>
                <w:sz w:val="24"/>
                <w:szCs w:val="24"/>
                <w:lang w:eastAsia="ja-JP"/>
              </w:rPr>
            </w:pPr>
            <w:r w:rsidRPr="001B4780">
              <w:rPr>
                <w:rFonts w:ascii="Times New Roman" w:hAnsi="Times New Roman" w:cs="Times New Roman"/>
                <w:noProof/>
                <w:sz w:val="24"/>
                <w:szCs w:val="24"/>
                <w:lang w:eastAsia="ja-JP"/>
              </w:rPr>
              <w:t>A.G.O.A.</w:t>
            </w:r>
          </w:p>
        </w:tc>
        <w:tc>
          <w:tcPr>
            <w:tcW w:w="1418" w:type="dxa"/>
            <w:tcBorders>
              <w:left w:val="nil"/>
              <w:bottom w:val="single" w:sz="4" w:space="0" w:color="auto"/>
              <w:right w:val="nil"/>
            </w:tcBorders>
            <w:shd w:val="clear" w:color="auto" w:fill="A5A5A5"/>
            <w:vAlign w:val="center"/>
          </w:tcPr>
          <w:p w:rsidR="00117432" w:rsidRPr="001B4780" w:rsidRDefault="00117432" w:rsidP="001B4780">
            <w:pPr>
              <w:spacing w:after="0" w:line="240" w:lineRule="auto"/>
              <w:jc w:val="center"/>
              <w:rPr>
                <w:rFonts w:ascii="Times New Roman" w:hAnsi="Times New Roman" w:cs="Times New Roman"/>
                <w:b/>
                <w:bCs/>
                <w:noProof/>
                <w:sz w:val="24"/>
                <w:szCs w:val="24"/>
                <w:lang w:eastAsia="ja-JP"/>
              </w:rPr>
            </w:pPr>
            <w:r w:rsidRPr="001B4780">
              <w:rPr>
                <w:rFonts w:ascii="Times New Roman" w:hAnsi="Times New Roman" w:cs="Times New Roman"/>
                <w:noProof/>
                <w:sz w:val="24"/>
                <w:szCs w:val="24"/>
                <w:lang w:eastAsia="ja-JP"/>
              </w:rPr>
              <w:t>C.A./A.U.</w:t>
            </w:r>
          </w:p>
        </w:tc>
        <w:tc>
          <w:tcPr>
            <w:tcW w:w="3543" w:type="dxa"/>
            <w:tcBorders>
              <w:left w:val="nil"/>
              <w:bottom w:val="single" w:sz="4" w:space="0" w:color="auto"/>
            </w:tcBorders>
            <w:shd w:val="clear" w:color="auto" w:fill="A5A5A5"/>
            <w:vAlign w:val="center"/>
          </w:tcPr>
          <w:p w:rsidR="00117432" w:rsidRPr="001B4780" w:rsidRDefault="00117432" w:rsidP="001B4780">
            <w:pPr>
              <w:spacing w:after="0" w:line="240" w:lineRule="auto"/>
              <w:jc w:val="center"/>
              <w:rPr>
                <w:rFonts w:ascii="Times New Roman" w:hAnsi="Times New Roman" w:cs="Times New Roman"/>
                <w:b/>
                <w:bCs/>
                <w:noProof/>
                <w:sz w:val="24"/>
                <w:szCs w:val="24"/>
                <w:lang w:eastAsia="ja-JP"/>
              </w:rPr>
            </w:pPr>
            <w:r w:rsidRPr="001B4780">
              <w:rPr>
                <w:rFonts w:ascii="Times New Roman" w:hAnsi="Times New Roman" w:cs="Times New Roman"/>
                <w:noProof/>
                <w:sz w:val="24"/>
                <w:szCs w:val="24"/>
                <w:lang w:eastAsia="ja-JP"/>
              </w:rPr>
              <w:t>Comitetul de remunerare</w:t>
            </w:r>
          </w:p>
        </w:tc>
      </w:tr>
      <w:tr w:rsidR="00117432" w:rsidRPr="001B4780">
        <w:trPr>
          <w:jc w:val="center"/>
        </w:trPr>
        <w:tc>
          <w:tcPr>
            <w:tcW w:w="3114" w:type="dxa"/>
            <w:shd w:val="clear" w:color="auto" w:fill="A5A5A5"/>
            <w:vAlign w:val="center"/>
          </w:tcPr>
          <w:p w:rsidR="00117432" w:rsidRPr="001B4780" w:rsidRDefault="00117432" w:rsidP="001B4780">
            <w:pPr>
              <w:spacing w:after="0" w:line="240" w:lineRule="auto"/>
              <w:jc w:val="center"/>
              <w:rPr>
                <w:rFonts w:ascii="Times New Roman" w:hAnsi="Times New Roman" w:cs="Times New Roman"/>
                <w:b/>
                <w:bCs/>
                <w:noProof/>
                <w:sz w:val="24"/>
                <w:szCs w:val="24"/>
                <w:lang w:eastAsia="ja-JP"/>
              </w:rPr>
            </w:pPr>
            <w:r w:rsidRPr="001B4780">
              <w:rPr>
                <w:rFonts w:ascii="Times New Roman" w:hAnsi="Times New Roman" w:cs="Times New Roman"/>
                <w:noProof/>
                <w:sz w:val="24"/>
                <w:szCs w:val="24"/>
                <w:lang w:eastAsia="ja-JP"/>
              </w:rPr>
              <w:t>Politica de Remunerare</w:t>
            </w:r>
          </w:p>
          <w:p w:rsidR="00117432" w:rsidRPr="001B4780" w:rsidRDefault="00117432" w:rsidP="001B4780">
            <w:pPr>
              <w:spacing w:after="0" w:line="240" w:lineRule="auto"/>
              <w:jc w:val="center"/>
              <w:rPr>
                <w:rFonts w:ascii="Times New Roman" w:hAnsi="Times New Roman" w:cs="Times New Roman"/>
                <w:b/>
                <w:bCs/>
                <w:noProof/>
                <w:sz w:val="24"/>
                <w:szCs w:val="24"/>
                <w:lang w:eastAsia="ja-JP"/>
              </w:rPr>
            </w:pPr>
            <w:r w:rsidRPr="001B4780">
              <w:rPr>
                <w:rFonts w:ascii="Times New Roman" w:hAnsi="Times New Roman" w:cs="Times New Roman"/>
                <w:noProof/>
                <w:sz w:val="24"/>
                <w:szCs w:val="24"/>
                <w:lang w:eastAsia="ja-JP"/>
              </w:rPr>
              <w:t>(aprobare și revizuire)</w:t>
            </w:r>
          </w:p>
        </w:tc>
        <w:tc>
          <w:tcPr>
            <w:tcW w:w="1701" w:type="dxa"/>
            <w:tcBorders>
              <w:right w:val="single" w:sz="4" w:space="0" w:color="auto"/>
            </w:tcBorders>
            <w:shd w:val="clear" w:color="auto" w:fill="DBDBDB"/>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aprobă</w:t>
            </w:r>
          </w:p>
        </w:tc>
        <w:tc>
          <w:tcPr>
            <w:tcW w:w="1418" w:type="dxa"/>
            <w:tcBorders>
              <w:top w:val="single" w:sz="4" w:space="0" w:color="auto"/>
              <w:left w:val="single" w:sz="4" w:space="0" w:color="auto"/>
            </w:tcBorders>
            <w:shd w:val="clear" w:color="auto" w:fill="DBDBDB"/>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propune**</w:t>
            </w:r>
          </w:p>
        </w:tc>
        <w:tc>
          <w:tcPr>
            <w:tcW w:w="3543" w:type="dxa"/>
            <w:tcBorders>
              <w:top w:val="single" w:sz="4" w:space="0" w:color="auto"/>
              <w:right w:val="single" w:sz="4" w:space="0" w:color="auto"/>
            </w:tcBorders>
            <w:shd w:val="clear" w:color="auto" w:fill="DBDBDB"/>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Formulează recomandarea</w:t>
            </w:r>
          </w:p>
        </w:tc>
      </w:tr>
      <w:tr w:rsidR="00117432" w:rsidRPr="001B4780">
        <w:trPr>
          <w:trHeight w:val="441"/>
          <w:jc w:val="center"/>
        </w:trPr>
        <w:tc>
          <w:tcPr>
            <w:tcW w:w="3114" w:type="dxa"/>
            <w:shd w:val="clear" w:color="auto" w:fill="A5A5A5"/>
            <w:vAlign w:val="center"/>
          </w:tcPr>
          <w:p w:rsidR="00117432" w:rsidRPr="001B4780" w:rsidRDefault="00117432" w:rsidP="001B4780">
            <w:pPr>
              <w:autoSpaceDE w:val="0"/>
              <w:autoSpaceDN w:val="0"/>
              <w:adjustRightInd w:val="0"/>
              <w:spacing w:after="0" w:line="240" w:lineRule="auto"/>
              <w:jc w:val="center"/>
              <w:rPr>
                <w:rFonts w:ascii="Times New Roman" w:hAnsi="Times New Roman" w:cs="Times New Roman"/>
                <w:b/>
                <w:bCs/>
                <w:noProof/>
                <w:sz w:val="24"/>
                <w:szCs w:val="24"/>
                <w:lang w:eastAsia="ja-JP"/>
              </w:rPr>
            </w:pPr>
            <w:r w:rsidRPr="001B4780">
              <w:rPr>
                <w:rFonts w:ascii="Times New Roman" w:hAnsi="Times New Roman" w:cs="Times New Roman"/>
                <w:noProof/>
                <w:sz w:val="24"/>
                <w:szCs w:val="24"/>
                <w:lang w:eastAsia="ja-JP"/>
              </w:rPr>
              <w:t>Raportul de remunerare</w:t>
            </w:r>
          </w:p>
        </w:tc>
        <w:tc>
          <w:tcPr>
            <w:tcW w:w="1701" w:type="dxa"/>
            <w:tcBorders>
              <w:right w:val="single" w:sz="4" w:space="0" w:color="auto"/>
            </w:tcBorders>
            <w:shd w:val="clear" w:color="auto" w:fill="EDEDED"/>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vot consultativ</w:t>
            </w:r>
          </w:p>
        </w:tc>
        <w:tc>
          <w:tcPr>
            <w:tcW w:w="1418" w:type="dxa"/>
            <w:tcBorders>
              <w:left w:val="single" w:sz="4" w:space="0" w:color="auto"/>
            </w:tcBorders>
            <w:shd w:val="clear" w:color="auto" w:fill="EDEDED"/>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aprobă</w:t>
            </w:r>
          </w:p>
        </w:tc>
        <w:tc>
          <w:tcPr>
            <w:tcW w:w="3543" w:type="dxa"/>
            <w:tcBorders>
              <w:right w:val="single" w:sz="4" w:space="0" w:color="auto"/>
            </w:tcBorders>
            <w:shd w:val="clear" w:color="auto" w:fill="EDEDED"/>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Formulează recomandarea</w:t>
            </w:r>
          </w:p>
        </w:tc>
      </w:tr>
      <w:tr w:rsidR="00117432" w:rsidRPr="001B4780">
        <w:trPr>
          <w:jc w:val="center"/>
        </w:trPr>
        <w:tc>
          <w:tcPr>
            <w:tcW w:w="3114" w:type="dxa"/>
            <w:shd w:val="clear" w:color="auto" w:fill="A5A5A5"/>
            <w:vAlign w:val="center"/>
          </w:tcPr>
          <w:p w:rsidR="00117432" w:rsidRPr="001B4780" w:rsidRDefault="00117432" w:rsidP="001B4780">
            <w:pPr>
              <w:spacing w:after="0" w:line="240" w:lineRule="auto"/>
              <w:jc w:val="center"/>
              <w:rPr>
                <w:rFonts w:ascii="Times New Roman" w:hAnsi="Times New Roman" w:cs="Times New Roman"/>
                <w:b/>
                <w:bCs/>
                <w:noProof/>
                <w:sz w:val="24"/>
                <w:szCs w:val="24"/>
                <w:lang w:eastAsia="ja-JP"/>
              </w:rPr>
            </w:pPr>
            <w:r w:rsidRPr="001B4780">
              <w:rPr>
                <w:rFonts w:ascii="Times New Roman" w:hAnsi="Times New Roman" w:cs="Times New Roman"/>
                <w:noProof/>
                <w:sz w:val="24"/>
                <w:szCs w:val="24"/>
                <w:lang w:eastAsia="ja-JP"/>
              </w:rPr>
              <w:t>CA – sume suplimentare pentru</w:t>
            </w:r>
          </w:p>
          <w:p w:rsidR="00117432" w:rsidRPr="001B4780" w:rsidRDefault="00117432" w:rsidP="001B4780">
            <w:pPr>
              <w:spacing w:after="0" w:line="240" w:lineRule="auto"/>
              <w:jc w:val="center"/>
              <w:rPr>
                <w:rFonts w:ascii="Times New Roman" w:hAnsi="Times New Roman" w:cs="Times New Roman"/>
                <w:b/>
                <w:bCs/>
                <w:noProof/>
                <w:sz w:val="24"/>
                <w:szCs w:val="24"/>
                <w:lang w:eastAsia="ja-JP"/>
              </w:rPr>
            </w:pPr>
            <w:r w:rsidRPr="001B4780">
              <w:rPr>
                <w:rFonts w:ascii="Times New Roman" w:hAnsi="Times New Roman" w:cs="Times New Roman"/>
                <w:noProof/>
                <w:sz w:val="24"/>
                <w:szCs w:val="24"/>
                <w:lang w:eastAsia="ja-JP"/>
              </w:rPr>
              <w:t>responsabilități suplimentare *</w:t>
            </w:r>
          </w:p>
        </w:tc>
        <w:tc>
          <w:tcPr>
            <w:tcW w:w="1701" w:type="dxa"/>
            <w:tcBorders>
              <w:right w:val="single" w:sz="4" w:space="0" w:color="auto"/>
            </w:tcBorders>
            <w:shd w:val="clear" w:color="auto" w:fill="DBDBDB"/>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w:t>
            </w:r>
          </w:p>
        </w:tc>
        <w:tc>
          <w:tcPr>
            <w:tcW w:w="1418" w:type="dxa"/>
            <w:tcBorders>
              <w:left w:val="single" w:sz="4" w:space="0" w:color="auto"/>
            </w:tcBorders>
            <w:shd w:val="clear" w:color="auto" w:fill="DBDBDB"/>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aprobă</w:t>
            </w:r>
          </w:p>
        </w:tc>
        <w:tc>
          <w:tcPr>
            <w:tcW w:w="3543" w:type="dxa"/>
            <w:tcBorders>
              <w:right w:val="single" w:sz="4" w:space="0" w:color="auto"/>
            </w:tcBorders>
            <w:shd w:val="clear" w:color="auto" w:fill="DBDBDB"/>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Formulează recomandarea</w:t>
            </w:r>
          </w:p>
        </w:tc>
      </w:tr>
      <w:tr w:rsidR="00117432" w:rsidRPr="001B4780">
        <w:trPr>
          <w:jc w:val="center"/>
        </w:trPr>
        <w:tc>
          <w:tcPr>
            <w:tcW w:w="3114" w:type="dxa"/>
            <w:shd w:val="clear" w:color="auto" w:fill="A5A5A5"/>
            <w:vAlign w:val="center"/>
          </w:tcPr>
          <w:p w:rsidR="00117432" w:rsidRPr="001B4780" w:rsidRDefault="00117432" w:rsidP="001B4780">
            <w:pPr>
              <w:autoSpaceDE w:val="0"/>
              <w:autoSpaceDN w:val="0"/>
              <w:adjustRightInd w:val="0"/>
              <w:spacing w:after="0" w:line="240" w:lineRule="auto"/>
              <w:jc w:val="center"/>
              <w:rPr>
                <w:rFonts w:ascii="Times New Roman" w:hAnsi="Times New Roman" w:cs="Times New Roman"/>
                <w:b/>
                <w:bCs/>
                <w:noProof/>
                <w:sz w:val="24"/>
                <w:szCs w:val="24"/>
                <w:lang w:eastAsia="ja-JP"/>
              </w:rPr>
            </w:pPr>
            <w:r w:rsidRPr="001B4780">
              <w:rPr>
                <w:rFonts w:ascii="Times New Roman" w:hAnsi="Times New Roman" w:cs="Times New Roman"/>
                <w:noProof/>
                <w:sz w:val="24"/>
                <w:szCs w:val="24"/>
                <w:lang w:eastAsia="ja-JP"/>
              </w:rPr>
              <w:t>Suma maximă anuală a</w:t>
            </w:r>
          </w:p>
          <w:p w:rsidR="00117432" w:rsidRPr="001B4780" w:rsidRDefault="00117432" w:rsidP="001B4780">
            <w:pPr>
              <w:autoSpaceDE w:val="0"/>
              <w:autoSpaceDN w:val="0"/>
              <w:adjustRightInd w:val="0"/>
              <w:spacing w:after="0" w:line="240" w:lineRule="auto"/>
              <w:jc w:val="center"/>
              <w:rPr>
                <w:rFonts w:ascii="Times New Roman" w:hAnsi="Times New Roman" w:cs="Times New Roman"/>
                <w:b/>
                <w:bCs/>
                <w:noProof/>
                <w:sz w:val="24"/>
                <w:szCs w:val="24"/>
                <w:lang w:eastAsia="ja-JP"/>
              </w:rPr>
            </w:pPr>
            <w:r w:rsidRPr="001B4780">
              <w:rPr>
                <w:rFonts w:ascii="Times New Roman" w:hAnsi="Times New Roman" w:cs="Times New Roman"/>
                <w:noProof/>
                <w:sz w:val="24"/>
                <w:szCs w:val="24"/>
                <w:lang w:eastAsia="ja-JP"/>
              </w:rPr>
              <w:t>tuturor remunerațiilor</w:t>
            </w:r>
          </w:p>
        </w:tc>
        <w:tc>
          <w:tcPr>
            <w:tcW w:w="1701" w:type="dxa"/>
            <w:tcBorders>
              <w:right w:val="single" w:sz="4" w:space="0" w:color="auto"/>
            </w:tcBorders>
            <w:shd w:val="clear" w:color="auto" w:fill="EDEDED"/>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aprobă</w:t>
            </w:r>
          </w:p>
        </w:tc>
        <w:tc>
          <w:tcPr>
            <w:tcW w:w="1418" w:type="dxa"/>
            <w:tcBorders>
              <w:left w:val="single" w:sz="4" w:space="0" w:color="auto"/>
              <w:bottom w:val="single" w:sz="4" w:space="0" w:color="auto"/>
            </w:tcBorders>
            <w:shd w:val="clear" w:color="auto" w:fill="EDEDED"/>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propune</w:t>
            </w:r>
          </w:p>
        </w:tc>
        <w:tc>
          <w:tcPr>
            <w:tcW w:w="3543" w:type="dxa"/>
            <w:tcBorders>
              <w:bottom w:val="single" w:sz="4" w:space="0" w:color="auto"/>
              <w:right w:val="single" w:sz="4" w:space="0" w:color="auto"/>
            </w:tcBorders>
            <w:shd w:val="clear" w:color="auto" w:fill="EDEDED"/>
            <w:vAlign w:val="center"/>
          </w:tcPr>
          <w:p w:rsidR="00117432" w:rsidRPr="001B4780" w:rsidRDefault="00117432" w:rsidP="001B4780">
            <w:pPr>
              <w:spacing w:after="0" w:line="240" w:lineRule="auto"/>
              <w:jc w:val="center"/>
              <w:rPr>
                <w:rFonts w:ascii="Times New Roman" w:hAnsi="Times New Roman" w:cs="Times New Roman"/>
                <w:noProof/>
                <w:sz w:val="24"/>
                <w:szCs w:val="24"/>
                <w:lang w:eastAsia="ja-JP"/>
              </w:rPr>
            </w:pPr>
            <w:r w:rsidRPr="001B4780">
              <w:rPr>
                <w:rFonts w:ascii="Times New Roman" w:hAnsi="Times New Roman" w:cs="Times New Roman"/>
                <w:noProof/>
                <w:sz w:val="24"/>
                <w:szCs w:val="24"/>
                <w:lang w:eastAsia="ja-JP"/>
              </w:rPr>
              <w:t>Formulează recomandarea</w:t>
            </w:r>
          </w:p>
        </w:tc>
      </w:tr>
    </w:tbl>
    <w:p w:rsidR="00117432" w:rsidRPr="00C4229D" w:rsidRDefault="00117432" w:rsidP="00C50B1E">
      <w:pPr>
        <w:spacing w:after="0" w:line="240" w:lineRule="auto"/>
        <w:jc w:val="both"/>
        <w:rPr>
          <w:rFonts w:ascii="Times New Roman" w:hAnsi="Times New Roman" w:cs="Times New Roman"/>
          <w:i/>
          <w:iCs/>
          <w:sz w:val="24"/>
          <w:szCs w:val="24"/>
        </w:rPr>
      </w:pPr>
      <w:r w:rsidRPr="00C4229D">
        <w:rPr>
          <w:rFonts w:ascii="Times New Roman" w:hAnsi="Times New Roman" w:cs="Times New Roman"/>
          <w:i/>
          <w:iCs/>
          <w:sz w:val="24"/>
          <w:szCs w:val="24"/>
        </w:rPr>
        <w:t>*comitete consultative/funcţia de preşedinte</w:t>
      </w:r>
    </w:p>
    <w:p w:rsidR="00117432" w:rsidRPr="00C4229D" w:rsidRDefault="00117432" w:rsidP="00C50B1E">
      <w:pPr>
        <w:spacing w:after="0" w:line="240" w:lineRule="auto"/>
        <w:jc w:val="both"/>
        <w:rPr>
          <w:rFonts w:ascii="Times New Roman" w:hAnsi="Times New Roman" w:cs="Times New Roman"/>
          <w:i/>
          <w:iCs/>
          <w:sz w:val="24"/>
          <w:szCs w:val="24"/>
        </w:rPr>
      </w:pPr>
      <w:r w:rsidRPr="00C4229D">
        <w:rPr>
          <w:rFonts w:ascii="Times New Roman" w:hAnsi="Times New Roman" w:cs="Times New Roman"/>
          <w:i/>
          <w:iCs/>
          <w:sz w:val="24"/>
          <w:szCs w:val="24"/>
        </w:rPr>
        <w:t>** ia decizia de aprobare a prezentătrii documentului respectiv spre aprobare catre A.G.O.A.</w:t>
      </w:r>
    </w:p>
    <w:p w:rsidR="00117432" w:rsidRPr="00C4229D" w:rsidRDefault="00117432" w:rsidP="00C50B1E">
      <w:pPr>
        <w:spacing w:after="0" w:line="240" w:lineRule="auto"/>
        <w:jc w:val="both"/>
        <w:rPr>
          <w:rFonts w:ascii="Times New Roman" w:hAnsi="Times New Roman" w:cs="Times New Roman"/>
          <w:i/>
          <w:iCs/>
          <w:sz w:val="24"/>
          <w:szCs w:val="24"/>
        </w:rPr>
      </w:pPr>
    </w:p>
    <w:p w:rsidR="00117432" w:rsidRPr="00D13BD3" w:rsidRDefault="00117432" w:rsidP="001E4177">
      <w:pPr>
        <w:spacing w:line="240" w:lineRule="auto"/>
        <w:jc w:val="both"/>
        <w:rPr>
          <w:rFonts w:ascii="Times New Roman" w:hAnsi="Times New Roman" w:cs="Times New Roman"/>
          <w:sz w:val="24"/>
          <w:szCs w:val="24"/>
          <w:u w:val="single"/>
        </w:rPr>
      </w:pPr>
      <w:r w:rsidRPr="00D13BD3">
        <w:rPr>
          <w:rFonts w:ascii="Times New Roman" w:hAnsi="Times New Roman" w:cs="Times New Roman"/>
          <w:sz w:val="24"/>
          <w:szCs w:val="24"/>
          <w:u w:val="single"/>
        </w:rPr>
        <w:t xml:space="preserve">Compania este administrata, in prezent, de catre un Administrator Unic. Neexistand Un Comitet de Remunerare, este atributia Administratorului Unic de a propune spre aprobare actionarilor, prezenta Politica de remunerare, urmarind ulterior aprobarii, monitorizarea implementarii Politicii de remunerare in cadrul Companiei. </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b/>
          <w:bCs/>
          <w:sz w:val="24"/>
          <w:szCs w:val="24"/>
        </w:rPr>
        <w:t>Departamentul juridic</w:t>
      </w:r>
      <w:r w:rsidRPr="00C4229D">
        <w:rPr>
          <w:rFonts w:ascii="Times New Roman" w:hAnsi="Times New Roman" w:cs="Times New Roman"/>
          <w:sz w:val="24"/>
          <w:szCs w:val="24"/>
        </w:rPr>
        <w:t xml:space="preserve"> sprijină și consiliază conducerea în implementarea acestei politici și recunoaște modul în care aceasta afectează legile și reglementările aplicabile ale companiei, avizând </w:t>
      </w:r>
      <w:r w:rsidRPr="00C4229D">
        <w:rPr>
          <w:rFonts w:ascii="Times New Roman" w:hAnsi="Times New Roman" w:cs="Times New Roman"/>
          <w:i/>
          <w:iCs/>
          <w:sz w:val="24"/>
          <w:szCs w:val="24"/>
        </w:rPr>
        <w:t>(dupa caz</w:t>
      </w:r>
      <w:r w:rsidRPr="00C4229D">
        <w:rPr>
          <w:rFonts w:ascii="Times New Roman" w:hAnsi="Times New Roman" w:cs="Times New Roman"/>
          <w:sz w:val="24"/>
          <w:szCs w:val="24"/>
        </w:rPr>
        <w:t>) această politică și toate documentele emise conform acestei politici.</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Sarcinile de mai sus sunt completate cu responsabilități suplimentare, specifice fiecărei structuri.</w:t>
      </w:r>
    </w:p>
    <w:p w:rsidR="00117432" w:rsidRPr="00C4229D" w:rsidRDefault="00117432" w:rsidP="00C50B1E">
      <w:pPr>
        <w:spacing w:line="240" w:lineRule="auto"/>
        <w:jc w:val="both"/>
        <w:rPr>
          <w:rFonts w:ascii="Times New Roman" w:hAnsi="Times New Roman" w:cs="Times New Roman"/>
          <w:b/>
          <w:bCs/>
          <w:sz w:val="24"/>
          <w:szCs w:val="24"/>
          <w:u w:val="single"/>
        </w:rPr>
      </w:pPr>
      <w:r w:rsidRPr="00C4229D">
        <w:rPr>
          <w:rFonts w:ascii="Times New Roman" w:hAnsi="Times New Roman" w:cs="Times New Roman"/>
          <w:b/>
          <w:bCs/>
          <w:sz w:val="24"/>
          <w:szCs w:val="24"/>
          <w:u w:val="single"/>
        </w:rPr>
        <w:t xml:space="preserve">Structura remunerației </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Structura de remunerare a directorilor executivi şi a membrilor Consiliului de Administrație</w:t>
      </w:r>
      <w:r>
        <w:rPr>
          <w:rFonts w:ascii="Times New Roman" w:hAnsi="Times New Roman" w:cs="Times New Roman"/>
          <w:sz w:val="24"/>
          <w:szCs w:val="24"/>
        </w:rPr>
        <w:t>/Administratorului Unic</w:t>
      </w:r>
      <w:r w:rsidRPr="00C4229D">
        <w:rPr>
          <w:rFonts w:ascii="Times New Roman" w:hAnsi="Times New Roman" w:cs="Times New Roman"/>
          <w:sz w:val="24"/>
          <w:szCs w:val="24"/>
        </w:rPr>
        <w:t xml:space="preserve"> este formată din doua elemente principale: remunerația fixă şi remunerația variabilă.</w:t>
      </w:r>
    </w:p>
    <w:p w:rsidR="00117432" w:rsidRPr="00F62C3F" w:rsidRDefault="00117432" w:rsidP="00F62C3F">
      <w:pPr>
        <w:pStyle w:val="ListParagraph"/>
        <w:numPr>
          <w:ilvl w:val="0"/>
          <w:numId w:val="6"/>
        </w:numPr>
        <w:spacing w:line="240" w:lineRule="auto"/>
        <w:jc w:val="both"/>
        <w:rPr>
          <w:rFonts w:ascii="Times New Roman" w:hAnsi="Times New Roman" w:cs="Times New Roman"/>
          <w:sz w:val="24"/>
          <w:szCs w:val="24"/>
        </w:rPr>
      </w:pPr>
      <w:r w:rsidRPr="00F62C3F">
        <w:rPr>
          <w:rFonts w:ascii="Times New Roman" w:hAnsi="Times New Roman" w:cs="Times New Roman"/>
          <w:b/>
          <w:bCs/>
          <w:sz w:val="24"/>
          <w:szCs w:val="24"/>
        </w:rPr>
        <w:t>REMUNERAȚIA FIXĂ</w:t>
      </w:r>
      <w:r w:rsidRPr="00F62C3F">
        <w:rPr>
          <w:rFonts w:ascii="Times New Roman" w:hAnsi="Times New Roman" w:cs="Times New Roman"/>
          <w:sz w:val="24"/>
          <w:szCs w:val="24"/>
        </w:rPr>
        <w:t xml:space="preserve"> (de bază) – componenta fixă a remunerației, necondiționată de îndeplinirea unor criterii de performanță, al cărei element principal constă în indemnizațiile acordate în baza contractului de administrație/mandat. Compania va urmări să ofere o remunerație de bază competitivă, dar se va abține de la licitarea peste ratele pieței, având în vedere accentul pus pe partea variabilă a compensației.</w:t>
      </w:r>
    </w:p>
    <w:p w:rsidR="00117432" w:rsidRPr="00F62C3F" w:rsidRDefault="00117432" w:rsidP="00F62C3F">
      <w:pPr>
        <w:pStyle w:val="ListParagraph"/>
        <w:spacing w:line="240" w:lineRule="auto"/>
        <w:ind w:left="704"/>
        <w:jc w:val="both"/>
        <w:rPr>
          <w:rFonts w:ascii="Times New Roman" w:hAnsi="Times New Roman" w:cs="Times New Roman"/>
          <w:sz w:val="24"/>
          <w:szCs w:val="24"/>
        </w:rPr>
      </w:pPr>
    </w:p>
    <w:p w:rsidR="00117432" w:rsidRPr="00C4229D" w:rsidRDefault="00117432" w:rsidP="001978C0">
      <w:pPr>
        <w:spacing w:line="240" w:lineRule="auto"/>
        <w:ind w:left="284"/>
        <w:jc w:val="both"/>
        <w:rPr>
          <w:rFonts w:ascii="Times New Roman" w:hAnsi="Times New Roman" w:cs="Times New Roman"/>
          <w:sz w:val="24"/>
          <w:szCs w:val="24"/>
        </w:rPr>
      </w:pPr>
      <w:r w:rsidRPr="00C4229D">
        <w:rPr>
          <w:rFonts w:ascii="Times New Roman" w:hAnsi="Times New Roman" w:cs="Times New Roman"/>
          <w:sz w:val="24"/>
          <w:szCs w:val="24"/>
        </w:rPr>
        <w:t>Este considerată o remunerație de bază atunci când sunt respectate condițiile enumerate mai jos:</w:t>
      </w:r>
    </w:p>
    <w:p w:rsidR="00117432" w:rsidRPr="00C4229D" w:rsidRDefault="00117432" w:rsidP="005D35E1">
      <w:pPr>
        <w:pStyle w:val="ListParagraph"/>
        <w:numPr>
          <w:ilvl w:val="0"/>
          <w:numId w:val="1"/>
        </w:num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Se bazează pe criterii prestabilite.</w:t>
      </w:r>
    </w:p>
    <w:p w:rsidR="00117432" w:rsidRPr="00C4229D" w:rsidRDefault="00117432" w:rsidP="005D35E1">
      <w:pPr>
        <w:pStyle w:val="ListParagraph"/>
        <w:numPr>
          <w:ilvl w:val="0"/>
          <w:numId w:val="1"/>
        </w:num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Nu este discreționară în ceea ce privește nivelul de experiență profesională și nivelul de senioritate.</w:t>
      </w:r>
    </w:p>
    <w:p w:rsidR="00117432" w:rsidRPr="00C4229D" w:rsidRDefault="00117432" w:rsidP="005D35E1">
      <w:pPr>
        <w:pStyle w:val="ListParagraph"/>
        <w:numPr>
          <w:ilvl w:val="0"/>
          <w:numId w:val="1"/>
        </w:num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Este transparentă cu privire la suma individuală acordată.</w:t>
      </w:r>
    </w:p>
    <w:p w:rsidR="00117432" w:rsidRPr="00C4229D" w:rsidRDefault="00117432" w:rsidP="005D35E1">
      <w:pPr>
        <w:pStyle w:val="ListParagraph"/>
        <w:numPr>
          <w:ilvl w:val="0"/>
          <w:numId w:val="1"/>
        </w:num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Este permanentă (menținută o perioadă lungă de timp strâns legată de rol specific și de responsabilități).</w:t>
      </w:r>
    </w:p>
    <w:p w:rsidR="00117432" w:rsidRPr="00C4229D" w:rsidRDefault="00117432" w:rsidP="005D35E1">
      <w:pPr>
        <w:pStyle w:val="ListParagraph"/>
        <w:numPr>
          <w:ilvl w:val="0"/>
          <w:numId w:val="1"/>
        </w:num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Este irevocabilă (suma permanentă poate fi modificată numai prin negociere şi revizuire anuală).</w:t>
      </w:r>
    </w:p>
    <w:p w:rsidR="00117432" w:rsidRPr="00C4229D" w:rsidRDefault="00117432" w:rsidP="005D35E1">
      <w:pPr>
        <w:pStyle w:val="ListParagraph"/>
        <w:numPr>
          <w:ilvl w:val="0"/>
          <w:numId w:val="1"/>
        </w:num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Nu poate fi redusă, suspendată sau anulată de unilateral de companie fără acordul părţii.</w:t>
      </w:r>
    </w:p>
    <w:p w:rsidR="00117432" w:rsidRPr="00C4229D" w:rsidRDefault="00117432" w:rsidP="001978C0">
      <w:pPr>
        <w:spacing w:line="240" w:lineRule="auto"/>
        <w:ind w:left="284"/>
        <w:jc w:val="both"/>
        <w:rPr>
          <w:rFonts w:ascii="Times New Roman" w:hAnsi="Times New Roman" w:cs="Times New Roman"/>
          <w:sz w:val="24"/>
          <w:szCs w:val="24"/>
        </w:rPr>
      </w:pPr>
      <w:r w:rsidRPr="00C4229D">
        <w:rPr>
          <w:rFonts w:ascii="Times New Roman" w:hAnsi="Times New Roman" w:cs="Times New Roman"/>
          <w:sz w:val="24"/>
          <w:szCs w:val="24"/>
        </w:rPr>
        <w:t>Membrii Consiliului de administrație</w:t>
      </w:r>
      <w:r>
        <w:rPr>
          <w:rFonts w:ascii="Times New Roman" w:hAnsi="Times New Roman" w:cs="Times New Roman"/>
          <w:sz w:val="24"/>
          <w:szCs w:val="24"/>
        </w:rPr>
        <w:t>/Administratorul Unic</w:t>
      </w:r>
      <w:r w:rsidRPr="00C4229D">
        <w:rPr>
          <w:rFonts w:ascii="Times New Roman" w:hAnsi="Times New Roman" w:cs="Times New Roman"/>
          <w:sz w:val="24"/>
          <w:szCs w:val="24"/>
        </w:rPr>
        <w:t xml:space="preserve"> beneficiază de o remunerație fixă lunară care este stabilită prin hotărârea Adunării Generale Ordinare a Acționarilor, pentru fiecare exercițiu financiar în parte. </w:t>
      </w:r>
    </w:p>
    <w:p w:rsidR="00117432" w:rsidRPr="00C4229D" w:rsidRDefault="00117432" w:rsidP="001978C0">
      <w:pPr>
        <w:spacing w:line="240" w:lineRule="auto"/>
        <w:ind w:left="284"/>
        <w:jc w:val="both"/>
        <w:rPr>
          <w:rFonts w:ascii="Times New Roman" w:hAnsi="Times New Roman" w:cs="Times New Roman"/>
          <w:sz w:val="24"/>
          <w:szCs w:val="24"/>
        </w:rPr>
      </w:pPr>
      <w:r w:rsidRPr="00C4229D">
        <w:rPr>
          <w:rFonts w:ascii="Times New Roman" w:hAnsi="Times New Roman" w:cs="Times New Roman"/>
          <w:sz w:val="24"/>
          <w:szCs w:val="24"/>
        </w:rPr>
        <w:t>Membrii Consiliului de administrație care fac parte din comitetele consultative ale Consiliului de administratie beneficiază de o remunerația suplimentară, conform prevederilor legale şi ale Actului Constitutiv al Companiei.</w:t>
      </w:r>
    </w:p>
    <w:p w:rsidR="00117432" w:rsidRPr="00C4229D" w:rsidRDefault="00117432" w:rsidP="001978C0">
      <w:pPr>
        <w:spacing w:line="240" w:lineRule="auto"/>
        <w:ind w:left="284"/>
        <w:jc w:val="both"/>
        <w:rPr>
          <w:rFonts w:ascii="Times New Roman" w:hAnsi="Times New Roman" w:cs="Times New Roman"/>
          <w:sz w:val="24"/>
          <w:szCs w:val="24"/>
        </w:rPr>
      </w:pPr>
      <w:r w:rsidRPr="00C4229D">
        <w:rPr>
          <w:rFonts w:ascii="Times New Roman" w:hAnsi="Times New Roman" w:cs="Times New Roman"/>
          <w:sz w:val="24"/>
          <w:szCs w:val="24"/>
        </w:rPr>
        <w:t xml:space="preserve">Limitele remuneratiei fixe lunare a directorilor executivi sunt prevăzute (de regulă) în Actul Constitutiv al Companiei și se încadrează </w:t>
      </w:r>
      <w:r w:rsidRPr="00FC0356">
        <w:rPr>
          <w:rFonts w:ascii="Times New Roman" w:hAnsi="Times New Roman" w:cs="Times New Roman"/>
          <w:sz w:val="24"/>
          <w:szCs w:val="24"/>
        </w:rPr>
        <w:t>între 3 (trei) şi 5 (cinci) salarii medii</w:t>
      </w:r>
      <w:r w:rsidRPr="00932117">
        <w:rPr>
          <w:rFonts w:ascii="Times New Roman" w:hAnsi="Times New Roman" w:cs="Times New Roman"/>
          <w:color w:val="FF0000"/>
          <w:sz w:val="24"/>
          <w:szCs w:val="24"/>
        </w:rPr>
        <w:t xml:space="preserve"> </w:t>
      </w:r>
      <w:r w:rsidRPr="00C4229D">
        <w:rPr>
          <w:rFonts w:ascii="Times New Roman" w:hAnsi="Times New Roman" w:cs="Times New Roman"/>
          <w:sz w:val="24"/>
          <w:szCs w:val="24"/>
        </w:rPr>
        <w:t>brute realizate pe societate ȋn exercitiul financiar anterior. Nivelul efectiv al remunerației se stabilește prin contractul de mandat.</w:t>
      </w:r>
    </w:p>
    <w:p w:rsidR="00117432" w:rsidRPr="00C4229D" w:rsidRDefault="00117432" w:rsidP="001978C0">
      <w:pPr>
        <w:spacing w:line="240" w:lineRule="auto"/>
        <w:ind w:left="284"/>
        <w:jc w:val="both"/>
        <w:rPr>
          <w:rFonts w:ascii="Times New Roman" w:hAnsi="Times New Roman" w:cs="Times New Roman"/>
          <w:sz w:val="24"/>
          <w:szCs w:val="24"/>
        </w:rPr>
      </w:pPr>
      <w:r w:rsidRPr="00C4229D">
        <w:rPr>
          <w:rFonts w:ascii="Times New Roman" w:hAnsi="Times New Roman" w:cs="Times New Roman"/>
          <w:b/>
          <w:bCs/>
          <w:sz w:val="24"/>
          <w:szCs w:val="24"/>
        </w:rPr>
        <w:t>B.</w:t>
      </w:r>
      <w:r w:rsidRPr="00C4229D">
        <w:rPr>
          <w:rFonts w:ascii="Times New Roman" w:hAnsi="Times New Roman" w:cs="Times New Roman"/>
          <w:b/>
          <w:bCs/>
          <w:sz w:val="24"/>
          <w:szCs w:val="24"/>
        </w:rPr>
        <w:tab/>
        <w:t>REMUNERAȚIA VARIABILĂ</w:t>
      </w:r>
      <w:r w:rsidRPr="00C4229D">
        <w:rPr>
          <w:rFonts w:ascii="Times New Roman" w:hAnsi="Times New Roman" w:cs="Times New Roman"/>
          <w:sz w:val="24"/>
          <w:szCs w:val="24"/>
        </w:rPr>
        <w:t xml:space="preserve"> – formă de plată sau indemnizație adițională achitată de Companie, cu luarea în considerare a unor criterii de performanță, destinată să recunoască performanța directorilor executivi şi a membrilor Consiliului de Administrație</w:t>
      </w:r>
      <w:r>
        <w:rPr>
          <w:rFonts w:ascii="Times New Roman" w:hAnsi="Times New Roman" w:cs="Times New Roman"/>
          <w:sz w:val="24"/>
          <w:szCs w:val="24"/>
        </w:rPr>
        <w:t>/Administratorului Unic</w:t>
      </w:r>
      <w:r w:rsidRPr="00C4229D">
        <w:rPr>
          <w:rFonts w:ascii="Times New Roman" w:hAnsi="Times New Roman" w:cs="Times New Roman"/>
          <w:sz w:val="24"/>
          <w:szCs w:val="24"/>
        </w:rPr>
        <w:t xml:space="preserve"> într-o anumită perioadă și element diferențiator al pachetului de remunerare. </w:t>
      </w:r>
    </w:p>
    <w:p w:rsidR="00117432" w:rsidRPr="00C4229D" w:rsidRDefault="00117432" w:rsidP="001978C0">
      <w:pPr>
        <w:spacing w:line="240" w:lineRule="auto"/>
        <w:ind w:left="284"/>
        <w:jc w:val="both"/>
        <w:rPr>
          <w:rFonts w:ascii="Times New Roman" w:hAnsi="Times New Roman" w:cs="Times New Roman"/>
          <w:sz w:val="24"/>
          <w:szCs w:val="24"/>
        </w:rPr>
      </w:pPr>
      <w:r w:rsidRPr="00C4229D">
        <w:rPr>
          <w:rFonts w:ascii="Times New Roman" w:hAnsi="Times New Roman" w:cs="Times New Roman"/>
          <w:sz w:val="24"/>
          <w:szCs w:val="24"/>
        </w:rPr>
        <w:t xml:space="preserve">Partea variabilă a pachetului de remunerare se bazează pe anumite condiții de eligibilitate, criterii calitative şi criterii cantitative. Suma maximă pentru remuneraţia variabilă este aprobată de A.G.O.A. şi nu poate depăşi 7,5% din profitul brut. </w:t>
      </w:r>
    </w:p>
    <w:p w:rsidR="00117432" w:rsidRPr="00C4229D" w:rsidRDefault="00117432" w:rsidP="001978C0">
      <w:pPr>
        <w:spacing w:line="240" w:lineRule="auto"/>
        <w:ind w:left="284"/>
        <w:jc w:val="both"/>
        <w:rPr>
          <w:rFonts w:ascii="Times New Roman" w:hAnsi="Times New Roman" w:cs="Times New Roman"/>
          <w:sz w:val="24"/>
          <w:szCs w:val="24"/>
        </w:rPr>
      </w:pPr>
      <w:r w:rsidRPr="00C4229D">
        <w:rPr>
          <w:rFonts w:ascii="Times New Roman" w:hAnsi="Times New Roman" w:cs="Times New Roman"/>
          <w:sz w:val="24"/>
          <w:szCs w:val="24"/>
        </w:rPr>
        <w:t xml:space="preserve">Obiectivele anuale (KPI) sunt stabilite ȋn Adunarea Generala Ordinara a Actionarilor de aprobare a exerciţiului financiar anterior. </w:t>
      </w:r>
    </w:p>
    <w:p w:rsidR="00117432" w:rsidRPr="00C4229D" w:rsidRDefault="00117432" w:rsidP="001978C0">
      <w:pPr>
        <w:spacing w:line="240" w:lineRule="auto"/>
        <w:ind w:firstLine="284"/>
        <w:jc w:val="both"/>
        <w:rPr>
          <w:rFonts w:ascii="Times New Roman" w:hAnsi="Times New Roman" w:cs="Times New Roman"/>
          <w:sz w:val="24"/>
          <w:szCs w:val="24"/>
        </w:rPr>
      </w:pPr>
      <w:r w:rsidRPr="00C4229D">
        <w:rPr>
          <w:rFonts w:ascii="Times New Roman" w:hAnsi="Times New Roman" w:cs="Times New Roman"/>
          <w:b/>
          <w:bCs/>
          <w:sz w:val="24"/>
          <w:szCs w:val="24"/>
        </w:rPr>
        <w:t xml:space="preserve"> Condiţiile de eligibilitate</w:t>
      </w:r>
      <w:r w:rsidRPr="00C4229D">
        <w:rPr>
          <w:rFonts w:ascii="Times New Roman" w:hAnsi="Times New Roman" w:cs="Times New Roman"/>
          <w:sz w:val="24"/>
          <w:szCs w:val="24"/>
        </w:rPr>
        <w:t xml:space="preserve"> pentru plata anuală a componentei variabile a remuneraţiei au ȋn vedere:</w:t>
      </w:r>
    </w:p>
    <w:p w:rsidR="00117432" w:rsidRPr="00C4229D" w:rsidRDefault="00117432" w:rsidP="001978C0">
      <w:pPr>
        <w:pStyle w:val="ListParagraph"/>
        <w:numPr>
          <w:ilvl w:val="0"/>
          <w:numId w:val="2"/>
        </w:num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 xml:space="preserve">Performanță individuală, atât în ceea ce privește obiectivele anuale (KPI) şi performanţa Companiei in ansamblu. </w:t>
      </w:r>
    </w:p>
    <w:p w:rsidR="00117432" w:rsidRPr="00C4229D" w:rsidRDefault="00117432" w:rsidP="001978C0">
      <w:pPr>
        <w:pStyle w:val="ListParagraph"/>
        <w:numPr>
          <w:ilvl w:val="0"/>
          <w:numId w:val="2"/>
        </w:num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Performanța operaţională (nefinanciară).</w:t>
      </w:r>
    </w:p>
    <w:p w:rsidR="00117432" w:rsidRPr="00C4229D" w:rsidRDefault="00117432" w:rsidP="001978C0">
      <w:pPr>
        <w:pStyle w:val="ListParagraph"/>
        <w:numPr>
          <w:ilvl w:val="0"/>
          <w:numId w:val="2"/>
        </w:num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Rezultatele generale ȋn materia responsabilităţii sociale.</w:t>
      </w:r>
    </w:p>
    <w:p w:rsidR="00117432" w:rsidRDefault="00117432" w:rsidP="001978C0">
      <w:pPr>
        <w:spacing w:line="240" w:lineRule="auto"/>
        <w:ind w:left="360"/>
        <w:jc w:val="both"/>
        <w:rPr>
          <w:rFonts w:ascii="Times New Roman" w:hAnsi="Times New Roman" w:cs="Times New Roman"/>
          <w:sz w:val="24"/>
          <w:szCs w:val="24"/>
        </w:rPr>
      </w:pPr>
      <w:r w:rsidRPr="00C4229D">
        <w:rPr>
          <w:rFonts w:ascii="Times New Roman" w:hAnsi="Times New Roman" w:cs="Times New Roman"/>
          <w:sz w:val="24"/>
          <w:szCs w:val="24"/>
        </w:rPr>
        <w:t>Evaluarea performanței se realizează într-un cadru multianual, pentru a se asigura că procesul de evaluare se bazează pe rezultate de performanță pe termen lung.</w:t>
      </w:r>
    </w:p>
    <w:p w:rsidR="00117432" w:rsidRPr="00C4229D" w:rsidRDefault="00117432" w:rsidP="001978C0">
      <w:pPr>
        <w:spacing w:line="240" w:lineRule="auto"/>
        <w:ind w:firstLine="360"/>
        <w:jc w:val="both"/>
        <w:rPr>
          <w:rFonts w:ascii="Times New Roman" w:hAnsi="Times New Roman" w:cs="Times New Roman"/>
          <w:sz w:val="24"/>
          <w:szCs w:val="24"/>
        </w:rPr>
      </w:pPr>
      <w:r w:rsidRPr="00C4229D">
        <w:rPr>
          <w:rFonts w:ascii="Times New Roman" w:hAnsi="Times New Roman" w:cs="Times New Roman"/>
          <w:b/>
          <w:bCs/>
          <w:sz w:val="24"/>
          <w:szCs w:val="24"/>
        </w:rPr>
        <w:t>Criteriile ca</w:t>
      </w:r>
      <w:r>
        <w:rPr>
          <w:rFonts w:ascii="Times New Roman" w:hAnsi="Times New Roman" w:cs="Times New Roman"/>
          <w:b/>
          <w:bCs/>
          <w:sz w:val="24"/>
          <w:szCs w:val="24"/>
        </w:rPr>
        <w:t>l</w:t>
      </w:r>
      <w:r w:rsidRPr="00C4229D">
        <w:rPr>
          <w:rFonts w:ascii="Times New Roman" w:hAnsi="Times New Roman" w:cs="Times New Roman"/>
          <w:b/>
          <w:bCs/>
          <w:sz w:val="24"/>
          <w:szCs w:val="24"/>
        </w:rPr>
        <w:t>itative</w:t>
      </w:r>
      <w:r w:rsidRPr="00C4229D">
        <w:rPr>
          <w:rFonts w:ascii="Times New Roman" w:hAnsi="Times New Roman" w:cs="Times New Roman"/>
          <w:sz w:val="24"/>
          <w:szCs w:val="24"/>
        </w:rPr>
        <w:t xml:space="preserve"> avute ȋn vedere la stabilirea componentei variabile luate ȋn calcul sunt:</w:t>
      </w:r>
    </w:p>
    <w:tbl>
      <w:tblPr>
        <w:tblW w:w="836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984"/>
        <w:gridCol w:w="6380"/>
      </w:tblGrid>
      <w:tr w:rsidR="00117432" w:rsidRPr="001B4780">
        <w:trPr>
          <w:jc w:val="center"/>
        </w:trPr>
        <w:tc>
          <w:tcPr>
            <w:tcW w:w="1984" w:type="dxa"/>
            <w:tcBorders>
              <w:left w:val="nil"/>
            </w:tcBorders>
            <w:vAlign w:val="center"/>
          </w:tcPr>
          <w:p w:rsidR="00117432" w:rsidRPr="001B4780" w:rsidRDefault="00117432" w:rsidP="001B4780">
            <w:pPr>
              <w:spacing w:after="0" w:line="240" w:lineRule="auto"/>
              <w:ind w:firstLine="34"/>
              <w:jc w:val="center"/>
              <w:rPr>
                <w:rFonts w:ascii="Times New Roman" w:hAnsi="Times New Roman" w:cs="Times New Roman"/>
                <w:sz w:val="24"/>
                <w:szCs w:val="24"/>
              </w:rPr>
            </w:pPr>
            <w:r w:rsidRPr="001B4780">
              <w:rPr>
                <w:rFonts w:ascii="Times New Roman" w:hAnsi="Times New Roman" w:cs="Times New Roman"/>
                <w:sz w:val="24"/>
                <w:szCs w:val="24"/>
              </w:rPr>
              <w:t>Criterii calitative esenţiale utilizate pentru măsurarea performanței</w:t>
            </w:r>
          </w:p>
        </w:tc>
        <w:tc>
          <w:tcPr>
            <w:tcW w:w="6380" w:type="dxa"/>
            <w:tcBorders>
              <w:right w:val="nil"/>
            </w:tcBorders>
          </w:tcPr>
          <w:p w:rsidR="00117432" w:rsidRPr="001B4780" w:rsidRDefault="00117432" w:rsidP="001B4780">
            <w:pPr>
              <w:pStyle w:val="ListParagraph"/>
              <w:numPr>
                <w:ilvl w:val="0"/>
                <w:numId w:val="5"/>
              </w:numPr>
              <w:spacing w:after="0" w:line="240" w:lineRule="auto"/>
              <w:ind w:left="452" w:hanging="284"/>
              <w:jc w:val="both"/>
              <w:rPr>
                <w:rFonts w:ascii="Times New Roman" w:hAnsi="Times New Roman" w:cs="Times New Roman"/>
                <w:sz w:val="24"/>
                <w:szCs w:val="24"/>
              </w:rPr>
            </w:pPr>
            <w:r w:rsidRPr="001B4780">
              <w:rPr>
                <w:rFonts w:ascii="Times New Roman" w:hAnsi="Times New Roman" w:cs="Times New Roman"/>
                <w:sz w:val="24"/>
                <w:szCs w:val="24"/>
              </w:rPr>
              <w:t>Implementarea strategiei de afaceri</w:t>
            </w:r>
          </w:p>
          <w:p w:rsidR="00117432" w:rsidRPr="001B4780" w:rsidRDefault="00117432" w:rsidP="001B4780">
            <w:pPr>
              <w:pStyle w:val="ListParagraph"/>
              <w:numPr>
                <w:ilvl w:val="0"/>
                <w:numId w:val="5"/>
              </w:numPr>
              <w:spacing w:after="0" w:line="240" w:lineRule="auto"/>
              <w:ind w:left="452" w:right="-390" w:hanging="284"/>
              <w:jc w:val="both"/>
              <w:rPr>
                <w:rFonts w:ascii="Times New Roman" w:hAnsi="Times New Roman" w:cs="Times New Roman"/>
                <w:sz w:val="24"/>
                <w:szCs w:val="24"/>
              </w:rPr>
            </w:pPr>
            <w:r w:rsidRPr="001B4780">
              <w:rPr>
                <w:rFonts w:ascii="Times New Roman" w:hAnsi="Times New Roman" w:cs="Times New Roman"/>
                <w:sz w:val="24"/>
                <w:szCs w:val="24"/>
              </w:rPr>
              <w:t>Gestionarea eficienta a activelor patrimoniale</w:t>
            </w:r>
          </w:p>
          <w:p w:rsidR="00117432" w:rsidRPr="001B4780" w:rsidRDefault="00117432" w:rsidP="001B4780">
            <w:pPr>
              <w:pStyle w:val="ListParagraph"/>
              <w:numPr>
                <w:ilvl w:val="0"/>
                <w:numId w:val="5"/>
              </w:numPr>
              <w:spacing w:after="0" w:line="240" w:lineRule="auto"/>
              <w:ind w:left="452" w:hanging="284"/>
              <w:jc w:val="both"/>
              <w:rPr>
                <w:rFonts w:ascii="Times New Roman" w:hAnsi="Times New Roman" w:cs="Times New Roman"/>
                <w:sz w:val="24"/>
                <w:szCs w:val="24"/>
              </w:rPr>
            </w:pPr>
            <w:r w:rsidRPr="001B4780">
              <w:rPr>
                <w:rFonts w:ascii="Times New Roman" w:hAnsi="Times New Roman" w:cs="Times New Roman"/>
                <w:sz w:val="24"/>
                <w:szCs w:val="24"/>
              </w:rPr>
              <w:t>Implementarea unui sistem de guvernantă corporativă eficient</w:t>
            </w:r>
          </w:p>
          <w:p w:rsidR="00117432" w:rsidRPr="001B4780" w:rsidRDefault="00117432" w:rsidP="001B4780">
            <w:pPr>
              <w:pStyle w:val="ListParagraph"/>
              <w:numPr>
                <w:ilvl w:val="0"/>
                <w:numId w:val="5"/>
              </w:numPr>
              <w:spacing w:after="0" w:line="240" w:lineRule="auto"/>
              <w:ind w:left="452" w:hanging="284"/>
              <w:jc w:val="both"/>
              <w:rPr>
                <w:rFonts w:ascii="Times New Roman" w:hAnsi="Times New Roman" w:cs="Times New Roman"/>
                <w:sz w:val="24"/>
                <w:szCs w:val="24"/>
              </w:rPr>
            </w:pPr>
            <w:r w:rsidRPr="001B4780">
              <w:rPr>
                <w:rFonts w:ascii="Times New Roman" w:hAnsi="Times New Roman" w:cs="Times New Roman"/>
                <w:sz w:val="24"/>
                <w:szCs w:val="24"/>
              </w:rPr>
              <w:t>Gradul de realizare a planurilor de investiţii ȋn corelare cu obiectivele privind dezvoltarea afacerii</w:t>
            </w:r>
          </w:p>
        </w:tc>
      </w:tr>
    </w:tbl>
    <w:p w:rsidR="00117432" w:rsidRDefault="00117432" w:rsidP="00AE1071">
      <w:pPr>
        <w:spacing w:before="240" w:line="240" w:lineRule="auto"/>
        <w:jc w:val="both"/>
        <w:rPr>
          <w:rFonts w:ascii="Times New Roman" w:hAnsi="Times New Roman" w:cs="Times New Roman"/>
          <w:b/>
          <w:bCs/>
          <w:sz w:val="24"/>
          <w:szCs w:val="24"/>
        </w:rPr>
      </w:pPr>
      <w:r w:rsidRPr="00C4229D">
        <w:rPr>
          <w:rFonts w:ascii="Times New Roman" w:hAnsi="Times New Roman" w:cs="Times New Roman"/>
          <w:b/>
          <w:bCs/>
          <w:sz w:val="24"/>
          <w:szCs w:val="24"/>
        </w:rPr>
        <w:t xml:space="preserve">    </w:t>
      </w:r>
    </w:p>
    <w:p w:rsidR="00117432" w:rsidRDefault="00117432" w:rsidP="00AE1071">
      <w:pPr>
        <w:spacing w:before="240" w:line="240" w:lineRule="auto"/>
        <w:jc w:val="both"/>
        <w:rPr>
          <w:rFonts w:ascii="Times New Roman" w:hAnsi="Times New Roman" w:cs="Times New Roman"/>
          <w:b/>
          <w:bCs/>
          <w:sz w:val="24"/>
          <w:szCs w:val="24"/>
        </w:rPr>
      </w:pPr>
    </w:p>
    <w:p w:rsidR="00117432" w:rsidRPr="00C4229D" w:rsidRDefault="00117432" w:rsidP="00AE1071">
      <w:pPr>
        <w:spacing w:before="240" w:line="240" w:lineRule="auto"/>
        <w:jc w:val="both"/>
        <w:rPr>
          <w:rFonts w:ascii="Times New Roman" w:hAnsi="Times New Roman" w:cs="Times New Roman"/>
          <w:sz w:val="24"/>
          <w:szCs w:val="24"/>
        </w:rPr>
      </w:pPr>
      <w:r w:rsidRPr="00C4229D">
        <w:rPr>
          <w:rFonts w:ascii="Times New Roman" w:hAnsi="Times New Roman" w:cs="Times New Roman"/>
          <w:b/>
          <w:bCs/>
          <w:sz w:val="24"/>
          <w:szCs w:val="24"/>
        </w:rPr>
        <w:t xml:space="preserve">  Criteriile cantitative</w:t>
      </w:r>
      <w:r w:rsidRPr="00C4229D">
        <w:rPr>
          <w:rFonts w:ascii="Times New Roman" w:hAnsi="Times New Roman" w:cs="Times New Roman"/>
          <w:sz w:val="24"/>
          <w:szCs w:val="24"/>
        </w:rPr>
        <w:t xml:space="preserve"> avute ȋn vedere la stabilirea componentei variabile luate in calcul sunt:</w:t>
      </w:r>
    </w:p>
    <w:tbl>
      <w:tblPr>
        <w:tblW w:w="8221" w:type="dxa"/>
        <w:tblInd w:w="-1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984"/>
        <w:gridCol w:w="6237"/>
      </w:tblGrid>
      <w:tr w:rsidR="00117432" w:rsidRPr="001B4780">
        <w:tc>
          <w:tcPr>
            <w:tcW w:w="1984" w:type="dxa"/>
            <w:tcBorders>
              <w:left w:val="nil"/>
            </w:tcBorders>
            <w:vAlign w:val="center"/>
          </w:tcPr>
          <w:p w:rsidR="00117432" w:rsidRPr="001B4780" w:rsidRDefault="00117432" w:rsidP="001B4780">
            <w:pPr>
              <w:spacing w:after="0" w:line="240" w:lineRule="auto"/>
              <w:ind w:firstLine="34"/>
              <w:jc w:val="center"/>
              <w:rPr>
                <w:rFonts w:ascii="Times New Roman" w:hAnsi="Times New Roman" w:cs="Times New Roman"/>
                <w:sz w:val="24"/>
                <w:szCs w:val="24"/>
              </w:rPr>
            </w:pPr>
            <w:r w:rsidRPr="001B4780">
              <w:rPr>
                <w:rFonts w:ascii="Times New Roman" w:hAnsi="Times New Roman" w:cs="Times New Roman"/>
                <w:sz w:val="24"/>
                <w:szCs w:val="24"/>
              </w:rPr>
              <w:t>Criterii cantitative fundamentale utilizate pentru măsurarea performanței</w:t>
            </w:r>
          </w:p>
        </w:tc>
        <w:tc>
          <w:tcPr>
            <w:tcW w:w="6237" w:type="dxa"/>
            <w:tcBorders>
              <w:right w:val="nil"/>
            </w:tcBorders>
          </w:tcPr>
          <w:p w:rsidR="00117432" w:rsidRPr="001B4780" w:rsidRDefault="00117432" w:rsidP="001B4780">
            <w:pPr>
              <w:pStyle w:val="ListParagraph"/>
              <w:numPr>
                <w:ilvl w:val="0"/>
                <w:numId w:val="5"/>
              </w:numPr>
              <w:spacing w:after="0" w:line="240" w:lineRule="auto"/>
              <w:ind w:left="452" w:hanging="284"/>
              <w:jc w:val="both"/>
              <w:rPr>
                <w:rFonts w:ascii="Times New Roman" w:hAnsi="Times New Roman" w:cs="Times New Roman"/>
                <w:sz w:val="24"/>
                <w:szCs w:val="24"/>
              </w:rPr>
            </w:pPr>
            <w:r w:rsidRPr="001B4780">
              <w:rPr>
                <w:rFonts w:ascii="Times New Roman" w:hAnsi="Times New Roman" w:cs="Times New Roman"/>
                <w:sz w:val="24"/>
                <w:szCs w:val="24"/>
              </w:rPr>
              <w:t>Creșterea veniturilor</w:t>
            </w:r>
          </w:p>
          <w:p w:rsidR="00117432" w:rsidRPr="001B4780" w:rsidRDefault="00117432" w:rsidP="001B4780">
            <w:pPr>
              <w:pStyle w:val="ListParagraph"/>
              <w:numPr>
                <w:ilvl w:val="0"/>
                <w:numId w:val="5"/>
              </w:numPr>
              <w:spacing w:after="0" w:line="240" w:lineRule="auto"/>
              <w:ind w:left="452" w:hanging="284"/>
              <w:jc w:val="both"/>
              <w:rPr>
                <w:rFonts w:ascii="Times New Roman" w:hAnsi="Times New Roman" w:cs="Times New Roman"/>
                <w:sz w:val="24"/>
                <w:szCs w:val="24"/>
              </w:rPr>
            </w:pPr>
            <w:r w:rsidRPr="001B4780">
              <w:rPr>
                <w:rFonts w:ascii="Times New Roman" w:hAnsi="Times New Roman" w:cs="Times New Roman"/>
                <w:sz w:val="24"/>
                <w:szCs w:val="24"/>
              </w:rPr>
              <w:t>Creștere EBITDA</w:t>
            </w:r>
          </w:p>
          <w:p w:rsidR="00117432" w:rsidRPr="001B4780" w:rsidRDefault="00117432" w:rsidP="001B4780">
            <w:pPr>
              <w:pStyle w:val="ListParagraph"/>
              <w:numPr>
                <w:ilvl w:val="0"/>
                <w:numId w:val="5"/>
              </w:numPr>
              <w:spacing w:after="0" w:line="240" w:lineRule="auto"/>
              <w:ind w:left="452" w:hanging="284"/>
              <w:jc w:val="both"/>
              <w:rPr>
                <w:rFonts w:ascii="Times New Roman" w:hAnsi="Times New Roman" w:cs="Times New Roman"/>
                <w:sz w:val="24"/>
                <w:szCs w:val="24"/>
              </w:rPr>
            </w:pPr>
            <w:r w:rsidRPr="001B4780">
              <w:rPr>
                <w:rFonts w:ascii="Times New Roman" w:hAnsi="Times New Roman" w:cs="Times New Roman"/>
                <w:sz w:val="24"/>
                <w:szCs w:val="24"/>
              </w:rPr>
              <w:t>Marja EBITDA</w:t>
            </w:r>
          </w:p>
          <w:p w:rsidR="00117432" w:rsidRPr="001B4780" w:rsidRDefault="00117432" w:rsidP="001B4780">
            <w:pPr>
              <w:pStyle w:val="ListParagraph"/>
              <w:numPr>
                <w:ilvl w:val="0"/>
                <w:numId w:val="5"/>
              </w:numPr>
              <w:spacing w:after="0" w:line="240" w:lineRule="auto"/>
              <w:ind w:left="452" w:hanging="284"/>
              <w:jc w:val="both"/>
              <w:rPr>
                <w:rFonts w:ascii="Times New Roman" w:hAnsi="Times New Roman" w:cs="Times New Roman"/>
                <w:sz w:val="24"/>
                <w:szCs w:val="24"/>
              </w:rPr>
            </w:pPr>
            <w:r w:rsidRPr="001B4780">
              <w:rPr>
                <w:rFonts w:ascii="Times New Roman" w:hAnsi="Times New Roman" w:cs="Times New Roman"/>
                <w:sz w:val="24"/>
                <w:szCs w:val="24"/>
              </w:rPr>
              <w:t>Profitul brut</w:t>
            </w:r>
          </w:p>
          <w:p w:rsidR="00117432" w:rsidRPr="001B4780" w:rsidRDefault="00117432" w:rsidP="001B4780">
            <w:pPr>
              <w:pStyle w:val="ListParagraph"/>
              <w:numPr>
                <w:ilvl w:val="0"/>
                <w:numId w:val="5"/>
              </w:numPr>
              <w:spacing w:after="0" w:line="240" w:lineRule="auto"/>
              <w:ind w:left="452" w:hanging="284"/>
              <w:jc w:val="both"/>
              <w:rPr>
                <w:rFonts w:ascii="Times New Roman" w:hAnsi="Times New Roman" w:cs="Times New Roman"/>
                <w:sz w:val="24"/>
                <w:szCs w:val="24"/>
              </w:rPr>
            </w:pPr>
            <w:r w:rsidRPr="001B4780">
              <w:rPr>
                <w:rFonts w:ascii="Times New Roman" w:hAnsi="Times New Roman" w:cs="Times New Roman"/>
                <w:sz w:val="24"/>
                <w:szCs w:val="24"/>
              </w:rPr>
              <w:t>Marja profitului net</w:t>
            </w:r>
          </w:p>
          <w:p w:rsidR="00117432" w:rsidRPr="001B4780" w:rsidRDefault="00117432" w:rsidP="001B4780">
            <w:pPr>
              <w:pStyle w:val="ListParagraph"/>
              <w:numPr>
                <w:ilvl w:val="0"/>
                <w:numId w:val="5"/>
              </w:numPr>
              <w:spacing w:after="0" w:line="240" w:lineRule="auto"/>
              <w:ind w:left="452" w:hanging="284"/>
              <w:jc w:val="both"/>
              <w:rPr>
                <w:rFonts w:ascii="Times New Roman" w:hAnsi="Times New Roman" w:cs="Times New Roman"/>
                <w:sz w:val="24"/>
                <w:szCs w:val="24"/>
              </w:rPr>
            </w:pPr>
            <w:r w:rsidRPr="001B4780">
              <w:rPr>
                <w:rFonts w:ascii="Times New Roman" w:hAnsi="Times New Roman" w:cs="Times New Roman"/>
                <w:sz w:val="24"/>
                <w:szCs w:val="24"/>
              </w:rPr>
              <w:t>ROE/ROA</w:t>
            </w:r>
          </w:p>
        </w:tc>
      </w:tr>
    </w:tbl>
    <w:p w:rsidR="00117432" w:rsidRDefault="00117432" w:rsidP="00C50B1E">
      <w:pPr>
        <w:spacing w:line="240" w:lineRule="auto"/>
        <w:jc w:val="both"/>
        <w:rPr>
          <w:rFonts w:ascii="Times New Roman" w:hAnsi="Times New Roman" w:cs="Times New Roman"/>
          <w:sz w:val="24"/>
          <w:szCs w:val="24"/>
        </w:rPr>
      </w:pPr>
    </w:p>
    <w:p w:rsidR="00117432" w:rsidRDefault="00117432" w:rsidP="002E5A8E">
      <w:pPr>
        <w:spacing w:line="240" w:lineRule="auto"/>
        <w:ind w:firstLine="708"/>
        <w:jc w:val="both"/>
        <w:rPr>
          <w:rFonts w:ascii="Times New Roman" w:hAnsi="Times New Roman" w:cs="Times New Roman"/>
          <w:sz w:val="24"/>
          <w:szCs w:val="24"/>
        </w:rPr>
      </w:pPr>
      <w:r w:rsidRPr="002E5A8E">
        <w:rPr>
          <w:rFonts w:ascii="Times New Roman" w:hAnsi="Times New Roman" w:cs="Times New Roman"/>
          <w:sz w:val="24"/>
          <w:szCs w:val="24"/>
        </w:rPr>
        <w:t>Criteriile cantitative si calitative mentionate anterior, nu sunt exhaustive si pot fi completate cu altele relevante pentru ciclul economic actual, in concordanta cu interesele legitime pe termen scurt si lung ale companiei, prevederilor si premiselor constructiei bugetului de venituri si cheltuieli, la propunerea Consiliului de Administratie</w:t>
      </w:r>
      <w:r>
        <w:rPr>
          <w:rFonts w:ascii="Times New Roman" w:hAnsi="Times New Roman" w:cs="Times New Roman"/>
          <w:sz w:val="24"/>
          <w:szCs w:val="24"/>
        </w:rPr>
        <w:t>/Administratorului unic</w:t>
      </w:r>
      <w:r w:rsidRPr="002E5A8E">
        <w:rPr>
          <w:rFonts w:ascii="Times New Roman" w:hAnsi="Times New Roman" w:cs="Times New Roman"/>
          <w:sz w:val="24"/>
          <w:szCs w:val="24"/>
        </w:rPr>
        <w:t xml:space="preserve"> si cu aprobarea lor de catre Adunarea Generala a Actionarilor. Anual Adunarea Generala a Actionarilor la propunerea Consiliului de Administratie</w:t>
      </w:r>
      <w:r>
        <w:rPr>
          <w:rFonts w:ascii="Times New Roman" w:hAnsi="Times New Roman" w:cs="Times New Roman"/>
          <w:sz w:val="24"/>
          <w:szCs w:val="24"/>
        </w:rPr>
        <w:t>/Administratorului unic</w:t>
      </w:r>
      <w:r w:rsidRPr="002E5A8E">
        <w:rPr>
          <w:rFonts w:ascii="Times New Roman" w:hAnsi="Times New Roman" w:cs="Times New Roman"/>
          <w:sz w:val="24"/>
          <w:szCs w:val="24"/>
        </w:rPr>
        <w:t xml:space="preserve"> aproba indicatorii aferenti exercitiului financiar in curs.</w:t>
      </w:r>
    </w:p>
    <w:p w:rsidR="00117432" w:rsidRPr="00C4229D" w:rsidRDefault="00117432" w:rsidP="00C50B1E">
      <w:pPr>
        <w:spacing w:line="240" w:lineRule="auto"/>
        <w:jc w:val="both"/>
        <w:rPr>
          <w:rFonts w:ascii="Times New Roman" w:hAnsi="Times New Roman" w:cs="Times New Roman"/>
          <w:b/>
          <w:bCs/>
          <w:sz w:val="24"/>
          <w:szCs w:val="24"/>
          <w:u w:val="single"/>
        </w:rPr>
      </w:pPr>
      <w:r w:rsidRPr="00C4229D">
        <w:rPr>
          <w:rFonts w:ascii="Times New Roman" w:hAnsi="Times New Roman" w:cs="Times New Roman"/>
          <w:b/>
          <w:bCs/>
          <w:sz w:val="24"/>
          <w:szCs w:val="24"/>
          <w:u w:val="single"/>
        </w:rPr>
        <w:t>Raportul dintre remunerația fixă și variabilă</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Remunerația anuală totală constă dintr-o componentă fixă și una variabilă. Componenta variabilă nu poate depăși 100% din remunerația anuală fixă totală. Componenta de bază (remuneraţia fixă) reprezintă o pondere, suficient de mare din remunerația totală ceea ce oferă Companiei o flexibilitate deplină în ceea ce privește politica privind acordarea componentei variabile.</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 xml:space="preserve">Componenta variabilă a remunerației cuvenită administratorilor şi directorilor executivi va fi direct proporțională cu gradul total anual de îndeplinire a fiecarui indicator pentru anul financiar corespunzător sau parte din anul financiar corespunzător. </w:t>
      </w:r>
    </w:p>
    <w:p w:rsidR="00117432" w:rsidRPr="00CB3363" w:rsidRDefault="00117432" w:rsidP="00C50B1E">
      <w:pPr>
        <w:spacing w:line="240" w:lineRule="auto"/>
        <w:jc w:val="both"/>
        <w:rPr>
          <w:rFonts w:ascii="Times New Roman" w:hAnsi="Times New Roman" w:cs="Times New Roman"/>
          <w:sz w:val="24"/>
          <w:szCs w:val="24"/>
        </w:rPr>
      </w:pPr>
      <w:r w:rsidRPr="00CB3363">
        <w:rPr>
          <w:rFonts w:ascii="Times New Roman" w:hAnsi="Times New Roman" w:cs="Times New Roman"/>
          <w:sz w:val="24"/>
          <w:szCs w:val="24"/>
        </w:rPr>
        <w:t>Gradul total de îndeplinire a indicatorilor cheie de performanță stabiliți pentru fiecare exerciţiu financiar este suma gradului de îndeplinire a fiecărui indicator, ponderat cu coeficientul de ponderare:</w:t>
      </w:r>
    </w:p>
    <w:tbl>
      <w:tblPr>
        <w:tblW w:w="8789" w:type="dxa"/>
        <w:tblInd w:w="-106" w:type="dxa"/>
        <w:tblBorders>
          <w:top w:val="single" w:sz="4" w:space="0" w:color="7F7F7F"/>
          <w:bottom w:val="single" w:sz="4" w:space="0" w:color="7F7F7F"/>
        </w:tblBorders>
        <w:tblLook w:val="00A0"/>
      </w:tblPr>
      <w:tblGrid>
        <w:gridCol w:w="5245"/>
        <w:gridCol w:w="3544"/>
      </w:tblGrid>
      <w:tr w:rsidR="00117432" w:rsidRPr="00CB3363">
        <w:tc>
          <w:tcPr>
            <w:tcW w:w="5245" w:type="dxa"/>
            <w:tcBorders>
              <w:top w:val="single" w:sz="4" w:space="0" w:color="7F7F7F"/>
              <w:bottom w:val="single" w:sz="4" w:space="0" w:color="7F7F7F"/>
            </w:tcBorders>
            <w:vAlign w:val="center"/>
          </w:tcPr>
          <w:p w:rsidR="00117432" w:rsidRPr="00CB3363" w:rsidRDefault="00117432" w:rsidP="001B4780">
            <w:pPr>
              <w:spacing w:after="0" w:line="240" w:lineRule="auto"/>
              <w:jc w:val="center"/>
              <w:rPr>
                <w:rFonts w:ascii="Times New Roman" w:hAnsi="Times New Roman" w:cs="Times New Roman"/>
                <w:b/>
                <w:bCs/>
                <w:sz w:val="24"/>
                <w:szCs w:val="24"/>
              </w:rPr>
            </w:pPr>
            <w:r w:rsidRPr="00CB3363">
              <w:rPr>
                <w:rFonts w:ascii="Times New Roman" w:hAnsi="Times New Roman" w:cs="Times New Roman"/>
                <w:sz w:val="24"/>
                <w:szCs w:val="24"/>
              </w:rPr>
              <w:t>Directorii Executivi</w:t>
            </w:r>
          </w:p>
        </w:tc>
        <w:tc>
          <w:tcPr>
            <w:tcW w:w="3544" w:type="dxa"/>
            <w:tcBorders>
              <w:top w:val="single" w:sz="4" w:space="0" w:color="7F7F7F"/>
              <w:bottom w:val="single" w:sz="4" w:space="0" w:color="7F7F7F"/>
            </w:tcBorders>
          </w:tcPr>
          <w:p w:rsidR="00117432" w:rsidRPr="00CB3363" w:rsidRDefault="00117432" w:rsidP="001B4780">
            <w:pPr>
              <w:spacing w:after="0" w:line="240" w:lineRule="auto"/>
              <w:rPr>
                <w:rFonts w:ascii="Times New Roman" w:hAnsi="Times New Roman" w:cs="Times New Roman"/>
                <w:b/>
                <w:bCs/>
                <w:sz w:val="24"/>
                <w:szCs w:val="24"/>
              </w:rPr>
            </w:pPr>
            <w:r w:rsidRPr="00CB3363">
              <w:rPr>
                <w:rFonts w:ascii="Times New Roman" w:hAnsi="Times New Roman" w:cs="Times New Roman"/>
                <w:sz w:val="24"/>
                <w:szCs w:val="24"/>
              </w:rPr>
              <w:t>60%  pondere criterii cantitative</w:t>
            </w:r>
          </w:p>
          <w:p w:rsidR="00117432" w:rsidRPr="00CB3363" w:rsidRDefault="00117432" w:rsidP="001B4780">
            <w:pPr>
              <w:spacing w:after="0" w:line="240" w:lineRule="auto"/>
              <w:rPr>
                <w:rFonts w:ascii="Times New Roman" w:hAnsi="Times New Roman" w:cs="Times New Roman"/>
                <w:b/>
                <w:bCs/>
                <w:sz w:val="24"/>
                <w:szCs w:val="24"/>
              </w:rPr>
            </w:pPr>
            <w:r w:rsidRPr="00CB3363">
              <w:rPr>
                <w:rFonts w:ascii="Times New Roman" w:hAnsi="Times New Roman" w:cs="Times New Roman"/>
                <w:sz w:val="24"/>
                <w:szCs w:val="24"/>
              </w:rPr>
              <w:t>40%  pondere criterii calitative</w:t>
            </w:r>
          </w:p>
        </w:tc>
      </w:tr>
      <w:tr w:rsidR="00117432" w:rsidRPr="00CB3363">
        <w:tc>
          <w:tcPr>
            <w:tcW w:w="5245" w:type="dxa"/>
            <w:tcBorders>
              <w:top w:val="single" w:sz="4" w:space="0" w:color="7F7F7F"/>
              <w:bottom w:val="single" w:sz="4" w:space="0" w:color="7F7F7F"/>
            </w:tcBorders>
            <w:vAlign w:val="center"/>
          </w:tcPr>
          <w:p w:rsidR="00117432" w:rsidRPr="00CB3363" w:rsidRDefault="00117432" w:rsidP="001B4780">
            <w:pPr>
              <w:spacing w:after="0" w:line="240" w:lineRule="auto"/>
              <w:jc w:val="center"/>
              <w:rPr>
                <w:rFonts w:ascii="Times New Roman" w:hAnsi="Times New Roman" w:cs="Times New Roman"/>
                <w:b/>
                <w:bCs/>
                <w:sz w:val="24"/>
                <w:szCs w:val="24"/>
              </w:rPr>
            </w:pPr>
            <w:r w:rsidRPr="00CB3363">
              <w:rPr>
                <w:rFonts w:ascii="Times New Roman" w:hAnsi="Times New Roman" w:cs="Times New Roman"/>
                <w:sz w:val="24"/>
                <w:szCs w:val="24"/>
              </w:rPr>
              <w:t>Membrii Consiliului de Administratie /Administrator Unic</w:t>
            </w:r>
          </w:p>
        </w:tc>
        <w:tc>
          <w:tcPr>
            <w:tcW w:w="3544" w:type="dxa"/>
            <w:tcBorders>
              <w:top w:val="single" w:sz="4" w:space="0" w:color="7F7F7F"/>
              <w:bottom w:val="single" w:sz="4" w:space="0" w:color="7F7F7F"/>
            </w:tcBorders>
          </w:tcPr>
          <w:p w:rsidR="00117432" w:rsidRPr="00CB3363" w:rsidRDefault="00117432" w:rsidP="001B4780">
            <w:pPr>
              <w:spacing w:after="0" w:line="240" w:lineRule="auto"/>
              <w:rPr>
                <w:rFonts w:ascii="Times New Roman" w:hAnsi="Times New Roman" w:cs="Times New Roman"/>
                <w:sz w:val="24"/>
                <w:szCs w:val="24"/>
              </w:rPr>
            </w:pPr>
            <w:r w:rsidRPr="00CB3363">
              <w:rPr>
                <w:rFonts w:ascii="Times New Roman" w:hAnsi="Times New Roman" w:cs="Times New Roman"/>
                <w:sz w:val="24"/>
                <w:szCs w:val="24"/>
              </w:rPr>
              <w:t>75%  pondere criterii calitative</w:t>
            </w:r>
          </w:p>
          <w:p w:rsidR="00117432" w:rsidRPr="00CB3363" w:rsidRDefault="00117432" w:rsidP="001B4780">
            <w:pPr>
              <w:spacing w:after="0" w:line="240" w:lineRule="auto"/>
              <w:ind w:left="-1067" w:firstLine="1067"/>
              <w:rPr>
                <w:rFonts w:ascii="Times New Roman" w:hAnsi="Times New Roman" w:cs="Times New Roman"/>
                <w:sz w:val="24"/>
                <w:szCs w:val="24"/>
              </w:rPr>
            </w:pPr>
            <w:r w:rsidRPr="00CB3363">
              <w:rPr>
                <w:rFonts w:ascii="Times New Roman" w:hAnsi="Times New Roman" w:cs="Times New Roman"/>
                <w:sz w:val="24"/>
                <w:szCs w:val="24"/>
              </w:rPr>
              <w:t>25% pondere criterii cantitative</w:t>
            </w:r>
          </w:p>
        </w:tc>
      </w:tr>
    </w:tbl>
    <w:p w:rsidR="00117432" w:rsidRPr="00CB3363" w:rsidRDefault="00117432" w:rsidP="00C50B1E">
      <w:pPr>
        <w:spacing w:line="240" w:lineRule="auto"/>
        <w:jc w:val="both"/>
        <w:rPr>
          <w:rFonts w:ascii="Times New Roman" w:hAnsi="Times New Roman" w:cs="Times New Roman"/>
          <w:sz w:val="24"/>
          <w:szCs w:val="24"/>
        </w:rPr>
      </w:pPr>
    </w:p>
    <w:p w:rsidR="00117432" w:rsidRPr="00CB3363" w:rsidRDefault="00117432" w:rsidP="00C50B1E">
      <w:pPr>
        <w:spacing w:line="240" w:lineRule="auto"/>
        <w:jc w:val="both"/>
        <w:rPr>
          <w:rFonts w:ascii="Times New Roman" w:hAnsi="Times New Roman" w:cs="Times New Roman"/>
          <w:color w:val="222222"/>
          <w:sz w:val="24"/>
          <w:szCs w:val="24"/>
          <w:shd w:val="clear" w:color="auto" w:fill="FFFFFF"/>
        </w:rPr>
      </w:pPr>
      <w:r w:rsidRPr="00CB3363">
        <w:rPr>
          <w:rFonts w:ascii="Times New Roman" w:hAnsi="Times New Roman" w:cs="Times New Roman"/>
          <w:color w:val="222222"/>
          <w:sz w:val="24"/>
          <w:szCs w:val="24"/>
          <w:shd w:val="clear" w:color="auto" w:fill="FFFFFF"/>
        </w:rPr>
        <w:t>Remunerația variabilă este acordată la atingerea 100% a obiectivelor stabilite. Consiliul de Administrație/Administratorul Unic poate decide, în mod justificat și respectând principiile echității și plății pentru performanță, să acorde remuneraţia variabilă în totalitate sau parțial directorilor cu contract de mandat.</w:t>
      </w:r>
    </w:p>
    <w:p w:rsidR="00117432" w:rsidRPr="00C4229D" w:rsidRDefault="00117432" w:rsidP="00C50B1E">
      <w:pPr>
        <w:spacing w:line="240" w:lineRule="auto"/>
        <w:jc w:val="both"/>
        <w:rPr>
          <w:rFonts w:ascii="Times New Roman" w:hAnsi="Times New Roman" w:cs="Times New Roman"/>
          <w:b/>
          <w:bCs/>
          <w:sz w:val="24"/>
          <w:szCs w:val="24"/>
          <w:u w:val="single"/>
        </w:rPr>
      </w:pPr>
      <w:r w:rsidRPr="00C4229D">
        <w:rPr>
          <w:rFonts w:ascii="Times New Roman" w:hAnsi="Times New Roman" w:cs="Times New Roman"/>
          <w:b/>
          <w:bCs/>
          <w:sz w:val="24"/>
          <w:szCs w:val="24"/>
          <w:u w:val="single"/>
        </w:rPr>
        <w:t xml:space="preserve">Plata componentei variabile </w:t>
      </w:r>
    </w:p>
    <w:p w:rsidR="00117432"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Remunerația variabilă este plătită de regulă o dată pe an și depinde de îndeplinirea KPI-urilor cuantificabili, stabiliți pentru persoana respectivă, atât la nivel de Companie, cât și la funcția specifică, prin contractul de administrare sau contractul de mandat.</w:t>
      </w:r>
    </w:p>
    <w:p w:rsidR="00117432" w:rsidRPr="00C4229D" w:rsidRDefault="00117432" w:rsidP="00C50B1E">
      <w:pPr>
        <w:spacing w:line="240" w:lineRule="auto"/>
        <w:jc w:val="both"/>
        <w:rPr>
          <w:rFonts w:ascii="Times New Roman" w:hAnsi="Times New Roman" w:cs="Times New Roman"/>
          <w:sz w:val="24"/>
          <w:szCs w:val="24"/>
        </w:rPr>
      </w:pP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Pentru stimularea şi motivarea pe termen lung şi ȋn deplin acord cu principiile de sustenabilitate ale Companiei, plata remuneraţiei variabile, pentru performanța directorilor executivi şi a membrilor Consiliului de Administrație</w:t>
      </w:r>
      <w:r>
        <w:rPr>
          <w:rFonts w:ascii="Times New Roman" w:hAnsi="Times New Roman" w:cs="Times New Roman"/>
          <w:sz w:val="24"/>
          <w:szCs w:val="24"/>
        </w:rPr>
        <w:t>/Administratorului Unic</w:t>
      </w:r>
      <w:r w:rsidRPr="00C4229D">
        <w:rPr>
          <w:rFonts w:ascii="Times New Roman" w:hAnsi="Times New Roman" w:cs="Times New Roman"/>
          <w:sz w:val="24"/>
          <w:szCs w:val="24"/>
        </w:rPr>
        <w:t xml:space="preserve"> se va face ȋntr-un cadru multianual. </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Astfel, un procent de 60% din remuneraţia variabilă se va plăti anual după ȋncheierea fiecărui exerciţiu financiar, ulterior aprobării sumelor de către A.G.O.A., urmând ca diferenţa de 40% sa fie amânată (reţinută) până la ȋncetarea contractului.</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Orice remuneraţie variabilă (schemele de stimulare pe termen scurt și lung) este sub rezerva discreției (ajustare înainte de plată) și clawback (recuperarea remuneraţiilor deja plătite) în cazul în care situațiile financiare ale societăţii trebuie să fie ajustate din cauza unei conduite care este contrară interesului companiei și dacă aceste ajustări afectează valoarea remuneraţiei variabile; sau în cazul în care criteriile de performanță care se aplică schemelor de stimulare şi nivelurile de performanță au fost manipulate; sau dacă comportamentul perso</w:t>
      </w:r>
      <w:r>
        <w:rPr>
          <w:rFonts w:ascii="Times New Roman" w:hAnsi="Times New Roman" w:cs="Times New Roman"/>
          <w:sz w:val="24"/>
          <w:szCs w:val="24"/>
        </w:rPr>
        <w:t>a</w:t>
      </w:r>
      <w:r w:rsidRPr="00C4229D">
        <w:rPr>
          <w:rFonts w:ascii="Times New Roman" w:hAnsi="Times New Roman" w:cs="Times New Roman"/>
          <w:sz w:val="24"/>
          <w:szCs w:val="24"/>
        </w:rPr>
        <w:t xml:space="preserve">nei încalcă legislația în domeniul sau dreptul muncii, codul de conduită al lui companiei sau standardele etice. </w:t>
      </w:r>
    </w:p>
    <w:p w:rsidR="00117432" w:rsidRPr="00C4229D" w:rsidRDefault="00117432" w:rsidP="00C50B1E">
      <w:pPr>
        <w:spacing w:line="240" w:lineRule="auto"/>
        <w:jc w:val="both"/>
        <w:rPr>
          <w:rFonts w:ascii="Times New Roman" w:hAnsi="Times New Roman" w:cs="Times New Roman"/>
          <w:b/>
          <w:bCs/>
          <w:sz w:val="24"/>
          <w:szCs w:val="24"/>
        </w:rPr>
      </w:pPr>
      <w:r w:rsidRPr="00C4229D">
        <w:rPr>
          <w:rFonts w:ascii="Times New Roman" w:hAnsi="Times New Roman" w:cs="Times New Roman"/>
          <w:b/>
          <w:bCs/>
          <w:sz w:val="24"/>
          <w:szCs w:val="24"/>
        </w:rPr>
        <w:t>Remunerație pe bază de acțiuni</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Ȋn cazuri strict determinate şi cu respectarea cadrului legal aplicabil, Compania poate acorda o remunerație pe bază de acțiuni cu stabilirea perioadelor în care există dreptul pentru atribuirea de acțiuni, schema perioadelor de alocare, perioadele de indisponibilizare după atribuire.</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Planul de stimulare (motivare) pe termen lung, bazat pe acțiuni are scopul de a oferi niveluri de remunerare atractive pentru performanțe ridicate continue, precum și să servească drept măsură de retenție.</w:t>
      </w:r>
    </w:p>
    <w:p w:rsidR="00117432" w:rsidRPr="00C4229D" w:rsidRDefault="00117432" w:rsidP="00C50B1E">
      <w:pPr>
        <w:spacing w:line="240" w:lineRule="auto"/>
        <w:jc w:val="both"/>
        <w:rPr>
          <w:rFonts w:ascii="Times New Roman" w:hAnsi="Times New Roman" w:cs="Times New Roman"/>
          <w:b/>
          <w:bCs/>
          <w:sz w:val="24"/>
          <w:szCs w:val="24"/>
        </w:rPr>
      </w:pPr>
      <w:r w:rsidRPr="00C4229D">
        <w:rPr>
          <w:rFonts w:ascii="Times New Roman" w:hAnsi="Times New Roman" w:cs="Times New Roman"/>
          <w:b/>
          <w:bCs/>
          <w:sz w:val="24"/>
          <w:szCs w:val="24"/>
        </w:rPr>
        <w:t>Contractele conducătorilor</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Durata contractelor de administare, respectiv de mandat este, de regulă, de maxim 4 ani cu aplicarea corespunzătoare a prevederilor Actului Constitutiv al Companiei. Ȋn cadrul acestora se stabilesc durata contractelor, acorduri şi perioadele de preaviz aplicabile</w:t>
      </w:r>
      <w:r>
        <w:rPr>
          <w:rFonts w:ascii="Times New Roman" w:hAnsi="Times New Roman" w:cs="Times New Roman"/>
          <w:sz w:val="24"/>
          <w:szCs w:val="24"/>
        </w:rPr>
        <w:t>,</w:t>
      </w:r>
      <w:r w:rsidRPr="00C4229D">
        <w:rPr>
          <w:rFonts w:ascii="Times New Roman" w:hAnsi="Times New Roman" w:cs="Times New Roman"/>
          <w:sz w:val="24"/>
          <w:szCs w:val="24"/>
        </w:rPr>
        <w:t xml:space="preserve"> principalele caracteristici ale sistemelor de pensii suplimentare sau de pensionare anticipate (dacă este cazul), precum şi condiţiile de reziliere a contractelor şi plăţile aferente rezilierii. </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Indicatorii de performanță financiari și nefinanciari aprobați constituie elemente față de care se determină componenta variabilă a remunerației. Remunerația și beneficiile acordate membrilor Consiliului de Administraţie</w:t>
      </w:r>
      <w:r>
        <w:rPr>
          <w:rFonts w:ascii="Times New Roman" w:hAnsi="Times New Roman" w:cs="Times New Roman"/>
          <w:sz w:val="24"/>
          <w:szCs w:val="24"/>
        </w:rPr>
        <w:t>/Administratorului Unic</w:t>
      </w:r>
      <w:r w:rsidRPr="00C4229D">
        <w:rPr>
          <w:rFonts w:ascii="Times New Roman" w:hAnsi="Times New Roman" w:cs="Times New Roman"/>
          <w:sz w:val="24"/>
          <w:szCs w:val="24"/>
        </w:rPr>
        <w:t xml:space="preserve"> şi directorilor executivi cu contract de mandat, conform prevederilor contractului de administrare/mandat, vor fi consemnate în situațiile financiare anuale auditate (</w:t>
      </w:r>
      <w:r w:rsidRPr="00C4229D">
        <w:rPr>
          <w:rFonts w:ascii="Times New Roman" w:hAnsi="Times New Roman" w:cs="Times New Roman"/>
          <w:i/>
          <w:iCs/>
          <w:sz w:val="24"/>
          <w:szCs w:val="24"/>
        </w:rPr>
        <w:t>și în Raportul anual al Comitetului de Remunerare</w:t>
      </w:r>
      <w:r w:rsidRPr="00C4229D">
        <w:rPr>
          <w:rFonts w:ascii="Times New Roman" w:hAnsi="Times New Roman" w:cs="Times New Roman"/>
          <w:sz w:val="24"/>
          <w:szCs w:val="24"/>
        </w:rPr>
        <w:t>) și în Raportul Consiliului de Administrație</w:t>
      </w:r>
      <w:r>
        <w:rPr>
          <w:rFonts w:ascii="Times New Roman" w:hAnsi="Times New Roman" w:cs="Times New Roman"/>
          <w:sz w:val="24"/>
          <w:szCs w:val="24"/>
        </w:rPr>
        <w:t>/Administratorului Unic</w:t>
      </w:r>
      <w:r w:rsidRPr="00C4229D">
        <w:rPr>
          <w:rFonts w:ascii="Times New Roman" w:hAnsi="Times New Roman" w:cs="Times New Roman"/>
          <w:sz w:val="24"/>
          <w:szCs w:val="24"/>
        </w:rPr>
        <w:t>.</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Beneficiile directorilor executivi şi a membrilor Consiliului de Administrație</w:t>
      </w:r>
      <w:r>
        <w:rPr>
          <w:rFonts w:ascii="Times New Roman" w:hAnsi="Times New Roman" w:cs="Times New Roman"/>
          <w:sz w:val="24"/>
          <w:szCs w:val="24"/>
        </w:rPr>
        <w:t>/Administratorului Unic</w:t>
      </w:r>
      <w:r w:rsidRPr="00C4229D">
        <w:rPr>
          <w:rFonts w:ascii="Times New Roman" w:hAnsi="Times New Roman" w:cs="Times New Roman"/>
          <w:sz w:val="24"/>
          <w:szCs w:val="24"/>
        </w:rPr>
        <w:t xml:space="preserve"> pot fi acordate conform contractelor şi au ȋn vedere facilităţi pentru executarea mandatului (acces la comunicaţii mobile, mijloace şi instrumente de comunicare la distantă, mijloace de transport, etc.)</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Plata asigurării de răspundere profesională se suportă de către Companie şi nu face parte din remunerație.</w:t>
      </w:r>
    </w:p>
    <w:p w:rsidR="00117432" w:rsidRDefault="00117432" w:rsidP="00C50B1E">
      <w:pPr>
        <w:spacing w:line="240" w:lineRule="auto"/>
        <w:jc w:val="both"/>
        <w:rPr>
          <w:rFonts w:ascii="Times New Roman" w:hAnsi="Times New Roman" w:cs="Times New Roman"/>
          <w:b/>
          <w:bCs/>
          <w:sz w:val="24"/>
          <w:szCs w:val="24"/>
        </w:rPr>
      </w:pPr>
    </w:p>
    <w:p w:rsidR="00117432" w:rsidRDefault="00117432" w:rsidP="00C50B1E">
      <w:pPr>
        <w:spacing w:line="240" w:lineRule="auto"/>
        <w:jc w:val="both"/>
        <w:rPr>
          <w:rFonts w:ascii="Times New Roman" w:hAnsi="Times New Roman" w:cs="Times New Roman"/>
          <w:b/>
          <w:bCs/>
          <w:sz w:val="24"/>
          <w:szCs w:val="24"/>
        </w:rPr>
      </w:pPr>
    </w:p>
    <w:p w:rsidR="00117432" w:rsidRPr="00C4229D" w:rsidRDefault="00117432" w:rsidP="00C50B1E">
      <w:pPr>
        <w:spacing w:line="240" w:lineRule="auto"/>
        <w:jc w:val="both"/>
        <w:rPr>
          <w:rFonts w:ascii="Times New Roman" w:hAnsi="Times New Roman" w:cs="Times New Roman"/>
          <w:b/>
          <w:bCs/>
          <w:sz w:val="24"/>
          <w:szCs w:val="24"/>
        </w:rPr>
      </w:pPr>
      <w:r w:rsidRPr="00C4229D">
        <w:rPr>
          <w:rFonts w:ascii="Times New Roman" w:hAnsi="Times New Roman" w:cs="Times New Roman"/>
          <w:b/>
          <w:bCs/>
          <w:sz w:val="24"/>
          <w:szCs w:val="24"/>
        </w:rPr>
        <w:t xml:space="preserve">Revizuirea Politicii de remunerare </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Politica de remunerare se supune revizuirii cel puţin o dată la 4 ani, sau ori de câte ori sunt necesare modificări semnificative. Ȋn cadrul procesului de revizuire se vor descrie schimbările semnificative și modul în care s-a ținut cont de voturile și punctele de vedere ale acționarilor cu privire la politica de remunerare.</w:t>
      </w:r>
    </w:p>
    <w:p w:rsidR="00117432" w:rsidRPr="00C4229D" w:rsidRDefault="00117432" w:rsidP="00C50B1E">
      <w:pPr>
        <w:spacing w:line="240" w:lineRule="auto"/>
        <w:jc w:val="both"/>
        <w:rPr>
          <w:rFonts w:ascii="Times New Roman" w:hAnsi="Times New Roman" w:cs="Times New Roman"/>
          <w:b/>
          <w:bCs/>
          <w:sz w:val="24"/>
          <w:szCs w:val="24"/>
        </w:rPr>
      </w:pPr>
      <w:r w:rsidRPr="00C4229D">
        <w:rPr>
          <w:rFonts w:ascii="Times New Roman" w:hAnsi="Times New Roman" w:cs="Times New Roman"/>
          <w:b/>
          <w:bCs/>
          <w:sz w:val="24"/>
          <w:szCs w:val="24"/>
        </w:rPr>
        <w:t>Derogari de la Politica de remunerare</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Ȋn circumstanțe excepționale</w:t>
      </w:r>
      <w:r>
        <w:rPr>
          <w:rFonts w:ascii="Times New Roman" w:hAnsi="Times New Roman" w:cs="Times New Roman"/>
          <w:sz w:val="24"/>
          <w:szCs w:val="24"/>
        </w:rPr>
        <w:t>,</w:t>
      </w:r>
      <w:r w:rsidRPr="00C4229D">
        <w:rPr>
          <w:rFonts w:ascii="Times New Roman" w:hAnsi="Times New Roman" w:cs="Times New Roman"/>
          <w:sz w:val="24"/>
          <w:szCs w:val="24"/>
        </w:rPr>
        <w:t xml:space="preserve"> Compania poate să deroge temporar de la politica de remunerare, caz ȋn care se vor aduce la cunoştinţă tuturor părţilor interesate motivele obiective care au stat la baza acestei derogări şi elementele de la care se va putea deroga. Aceste circumstanţe excepţionale se referă numai la situaţiile în care derogarea de la politica de remunerare este necesară pentru a servi pe termen lung interesele şi sustenabilitatea emitentului în întregime sau pentru a-i asigura viabilitatea.</w:t>
      </w:r>
    </w:p>
    <w:p w:rsidR="00117432" w:rsidRPr="00C4229D" w:rsidRDefault="00117432" w:rsidP="00C50B1E">
      <w:pPr>
        <w:spacing w:line="240" w:lineRule="auto"/>
        <w:jc w:val="both"/>
        <w:rPr>
          <w:rFonts w:ascii="Times New Roman" w:hAnsi="Times New Roman" w:cs="Times New Roman"/>
          <w:b/>
          <w:bCs/>
          <w:sz w:val="24"/>
          <w:szCs w:val="24"/>
        </w:rPr>
      </w:pPr>
      <w:r w:rsidRPr="00C4229D">
        <w:rPr>
          <w:rFonts w:ascii="Times New Roman" w:hAnsi="Times New Roman" w:cs="Times New Roman"/>
          <w:b/>
          <w:bCs/>
          <w:sz w:val="24"/>
          <w:szCs w:val="24"/>
        </w:rPr>
        <w:t>Raportul de remunerare</w:t>
      </w:r>
    </w:p>
    <w:p w:rsidR="00117432" w:rsidRPr="00C4229D"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Compania întocmeşte un raport de remunerare clar şi uşor de înţeles, care oferă o imagine de ansamblu cuprinzătoare a remuneraţiilor, inclusiv a tuturor beneficiilor, indiferent de formă, acordate sau datorate pe parcursul ultimului exerciţiu financiar, conducătorilor în mod individual, inclusiv celor nou recrutaţi şi foştilor conducători în conformitate cu politica de remunerare.</w:t>
      </w:r>
    </w:p>
    <w:p w:rsidR="00117432" w:rsidRDefault="00117432" w:rsidP="00C50B1E">
      <w:pPr>
        <w:spacing w:line="240" w:lineRule="auto"/>
        <w:jc w:val="both"/>
        <w:rPr>
          <w:rFonts w:ascii="Times New Roman" w:hAnsi="Times New Roman" w:cs="Times New Roman"/>
          <w:sz w:val="24"/>
          <w:szCs w:val="24"/>
        </w:rPr>
      </w:pPr>
      <w:r w:rsidRPr="00C4229D">
        <w:rPr>
          <w:rFonts w:ascii="Times New Roman" w:hAnsi="Times New Roman" w:cs="Times New Roman"/>
          <w:sz w:val="24"/>
          <w:szCs w:val="24"/>
        </w:rPr>
        <w:t>Raportul de remunerare se supune votului Adunării Generale Ordinare a Acţionarilor, odată cu aprobarea situațiilor financiare, în fiecare an, începând cu anul următor anului aprobării politicii de remunerare, opinia acționarilor rezultată în urma votului având</w:t>
      </w:r>
      <w:r w:rsidRPr="00C4229D">
        <w:rPr>
          <w:rFonts w:ascii="Times New Roman" w:hAnsi="Times New Roman" w:cs="Times New Roman"/>
          <w:sz w:val="26"/>
          <w:szCs w:val="26"/>
        </w:rPr>
        <w:t xml:space="preserve"> caracter </w:t>
      </w:r>
      <w:r w:rsidRPr="00C4229D">
        <w:rPr>
          <w:rFonts w:ascii="Times New Roman" w:hAnsi="Times New Roman" w:cs="Times New Roman"/>
          <w:sz w:val="24"/>
          <w:szCs w:val="24"/>
        </w:rPr>
        <w:t>consultativ, şi este disponibil pe site-ul emitentului o perioadă de 10 ani.</w:t>
      </w:r>
    </w:p>
    <w:p w:rsidR="00117432" w:rsidRDefault="00117432" w:rsidP="00C50B1E">
      <w:pPr>
        <w:spacing w:line="240" w:lineRule="auto"/>
        <w:jc w:val="both"/>
        <w:rPr>
          <w:rFonts w:ascii="Times New Roman" w:hAnsi="Times New Roman" w:cs="Times New Roman"/>
          <w:sz w:val="24"/>
          <w:szCs w:val="24"/>
        </w:rPr>
      </w:pPr>
    </w:p>
    <w:p w:rsidR="00117432" w:rsidRDefault="00117432" w:rsidP="00C50B1E">
      <w:pPr>
        <w:spacing w:line="240" w:lineRule="auto"/>
        <w:jc w:val="both"/>
        <w:rPr>
          <w:rFonts w:ascii="Times New Roman" w:hAnsi="Times New Roman" w:cs="Times New Roman"/>
          <w:sz w:val="24"/>
          <w:szCs w:val="24"/>
        </w:rPr>
      </w:pPr>
    </w:p>
    <w:p w:rsidR="00117432" w:rsidRDefault="00117432" w:rsidP="00C50B1E">
      <w:pPr>
        <w:spacing w:line="240" w:lineRule="auto"/>
        <w:jc w:val="both"/>
        <w:rPr>
          <w:rFonts w:ascii="Times New Roman" w:hAnsi="Times New Roman" w:cs="Times New Roman"/>
          <w:sz w:val="24"/>
          <w:szCs w:val="24"/>
        </w:rPr>
      </w:pPr>
    </w:p>
    <w:p w:rsidR="00117432" w:rsidRDefault="00117432" w:rsidP="008064B8">
      <w:pPr>
        <w:spacing w:line="240" w:lineRule="auto"/>
        <w:jc w:val="center"/>
        <w:rPr>
          <w:rFonts w:ascii="Times New Roman" w:hAnsi="Times New Roman" w:cs="Times New Roman"/>
          <w:b/>
          <w:bCs/>
          <w:sz w:val="24"/>
          <w:szCs w:val="24"/>
        </w:rPr>
      </w:pPr>
      <w:r w:rsidRPr="008064B8">
        <w:rPr>
          <w:rFonts w:ascii="Times New Roman" w:hAnsi="Times New Roman" w:cs="Times New Roman"/>
          <w:b/>
          <w:bCs/>
          <w:sz w:val="24"/>
          <w:szCs w:val="24"/>
        </w:rPr>
        <w:t>Administrator Unic</w:t>
      </w:r>
      <w:r>
        <w:rPr>
          <w:rFonts w:ascii="Times New Roman" w:hAnsi="Times New Roman" w:cs="Times New Roman"/>
          <w:b/>
          <w:bCs/>
          <w:sz w:val="24"/>
          <w:szCs w:val="24"/>
        </w:rPr>
        <w:t>,</w:t>
      </w:r>
    </w:p>
    <w:p w:rsidR="00117432" w:rsidRPr="008064B8" w:rsidRDefault="00117432" w:rsidP="008064B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Jurist Stefan Rosu</w:t>
      </w:r>
    </w:p>
    <w:sectPr w:rsidR="00117432" w:rsidRPr="008064B8" w:rsidSect="00AE1071">
      <w:footerReference w:type="default" r:id="rId7"/>
      <w:pgSz w:w="11906" w:h="16838"/>
      <w:pgMar w:top="1440" w:right="1440" w:bottom="993" w:left="1440"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432" w:rsidRDefault="00117432" w:rsidP="00AE1071">
      <w:pPr>
        <w:spacing w:after="0" w:line="240" w:lineRule="auto"/>
      </w:pPr>
      <w:r>
        <w:separator/>
      </w:r>
    </w:p>
  </w:endnote>
  <w:endnote w:type="continuationSeparator" w:id="0">
    <w:p w:rsidR="00117432" w:rsidRDefault="00117432" w:rsidP="00AE1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432" w:rsidRPr="00AE1071" w:rsidRDefault="00117432">
    <w:pPr>
      <w:pStyle w:val="Footer"/>
      <w:jc w:val="right"/>
      <w:rPr>
        <w:sz w:val="20"/>
        <w:szCs w:val="20"/>
      </w:rPr>
    </w:pPr>
    <w:r w:rsidRPr="00AE1071">
      <w:rPr>
        <w:sz w:val="20"/>
        <w:szCs w:val="20"/>
      </w:rPr>
      <w:t xml:space="preserve">Pagina </w:t>
    </w:r>
    <w:r w:rsidRPr="00AE1071">
      <w:rPr>
        <w:sz w:val="20"/>
        <w:szCs w:val="20"/>
      </w:rPr>
      <w:fldChar w:fldCharType="begin"/>
    </w:r>
    <w:r w:rsidRPr="00AE1071">
      <w:rPr>
        <w:sz w:val="20"/>
        <w:szCs w:val="20"/>
      </w:rPr>
      <w:instrText xml:space="preserve"> PAGE </w:instrText>
    </w:r>
    <w:r w:rsidRPr="00AE1071">
      <w:rPr>
        <w:sz w:val="20"/>
        <w:szCs w:val="20"/>
      </w:rPr>
      <w:fldChar w:fldCharType="separate"/>
    </w:r>
    <w:r>
      <w:rPr>
        <w:noProof/>
        <w:sz w:val="20"/>
        <w:szCs w:val="20"/>
      </w:rPr>
      <w:t>6</w:t>
    </w:r>
    <w:r w:rsidRPr="00AE1071">
      <w:rPr>
        <w:sz w:val="20"/>
        <w:szCs w:val="20"/>
      </w:rPr>
      <w:fldChar w:fldCharType="end"/>
    </w:r>
    <w:r w:rsidRPr="00AE1071">
      <w:rPr>
        <w:sz w:val="20"/>
        <w:szCs w:val="20"/>
      </w:rPr>
      <w:t xml:space="preserve"> </w:t>
    </w:r>
    <w:r>
      <w:rPr>
        <w:sz w:val="20"/>
        <w:szCs w:val="20"/>
      </w:rPr>
      <w:t>din</w:t>
    </w:r>
    <w:r w:rsidRPr="00AE1071">
      <w:rPr>
        <w:sz w:val="20"/>
        <w:szCs w:val="20"/>
      </w:rPr>
      <w:t xml:space="preserve"> </w:t>
    </w:r>
    <w:r w:rsidRPr="00AE1071">
      <w:rPr>
        <w:sz w:val="20"/>
        <w:szCs w:val="20"/>
      </w:rPr>
      <w:fldChar w:fldCharType="begin"/>
    </w:r>
    <w:r w:rsidRPr="00AE1071">
      <w:rPr>
        <w:sz w:val="20"/>
        <w:szCs w:val="20"/>
      </w:rPr>
      <w:instrText xml:space="preserve"> NUMPAGES  </w:instrText>
    </w:r>
    <w:r w:rsidRPr="00AE1071">
      <w:rPr>
        <w:sz w:val="20"/>
        <w:szCs w:val="20"/>
      </w:rPr>
      <w:fldChar w:fldCharType="separate"/>
    </w:r>
    <w:r>
      <w:rPr>
        <w:noProof/>
        <w:sz w:val="20"/>
        <w:szCs w:val="20"/>
      </w:rPr>
      <w:t>6</w:t>
    </w:r>
    <w:r w:rsidRPr="00AE1071">
      <w:rPr>
        <w:sz w:val="20"/>
        <w:szCs w:val="20"/>
      </w:rPr>
      <w:fldChar w:fldCharType="end"/>
    </w:r>
  </w:p>
  <w:p w:rsidR="00117432" w:rsidRPr="00AE1071" w:rsidRDefault="00117432">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432" w:rsidRDefault="00117432" w:rsidP="00AE1071">
      <w:pPr>
        <w:spacing w:after="0" w:line="240" w:lineRule="auto"/>
      </w:pPr>
      <w:r>
        <w:separator/>
      </w:r>
    </w:p>
  </w:footnote>
  <w:footnote w:type="continuationSeparator" w:id="0">
    <w:p w:rsidR="00117432" w:rsidRDefault="00117432" w:rsidP="00AE10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53F7"/>
    <w:multiLevelType w:val="hybridMultilevel"/>
    <w:tmpl w:val="D756B5A4"/>
    <w:lvl w:ilvl="0" w:tplc="5484B6BC">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
    <w:nsid w:val="3C8504AB"/>
    <w:multiLevelType w:val="hybridMultilevel"/>
    <w:tmpl w:val="9282EA4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597D5B49"/>
    <w:multiLevelType w:val="hybridMultilevel"/>
    <w:tmpl w:val="8A5A01B4"/>
    <w:lvl w:ilvl="0" w:tplc="5484B6BC">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nsid w:val="6B5272D6"/>
    <w:multiLevelType w:val="hybridMultilevel"/>
    <w:tmpl w:val="98CC78BC"/>
    <w:lvl w:ilvl="0" w:tplc="9DAAEC86">
      <w:start w:val="1"/>
      <w:numFmt w:val="decimal"/>
      <w:lvlText w:val="%1)"/>
      <w:lvlJc w:val="left"/>
      <w:pPr>
        <w:ind w:left="1068" w:hanging="708"/>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71092C7A"/>
    <w:multiLevelType w:val="hybridMultilevel"/>
    <w:tmpl w:val="67E8AB36"/>
    <w:lvl w:ilvl="0" w:tplc="E514C5B0">
      <w:start w:val="1"/>
      <w:numFmt w:val="upperLetter"/>
      <w:lvlText w:val="%1."/>
      <w:lvlJc w:val="left"/>
      <w:pPr>
        <w:ind w:left="704" w:hanging="420"/>
      </w:pPr>
      <w:rPr>
        <w:rFonts w:hint="default"/>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nsid w:val="76352F37"/>
    <w:multiLevelType w:val="hybridMultilevel"/>
    <w:tmpl w:val="00700BF2"/>
    <w:lvl w:ilvl="0" w:tplc="5484B6BC">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B1E"/>
    <w:rsid w:val="00031C9E"/>
    <w:rsid w:val="00077710"/>
    <w:rsid w:val="0008066C"/>
    <w:rsid w:val="000E2F6A"/>
    <w:rsid w:val="000F07BA"/>
    <w:rsid w:val="001003F0"/>
    <w:rsid w:val="00117432"/>
    <w:rsid w:val="001978C0"/>
    <w:rsid w:val="001B4780"/>
    <w:rsid w:val="001E4177"/>
    <w:rsid w:val="002038F4"/>
    <w:rsid w:val="00293237"/>
    <w:rsid w:val="002D2C20"/>
    <w:rsid w:val="002E5A8E"/>
    <w:rsid w:val="003129E8"/>
    <w:rsid w:val="0033651E"/>
    <w:rsid w:val="00420670"/>
    <w:rsid w:val="00426C48"/>
    <w:rsid w:val="00471B21"/>
    <w:rsid w:val="004F7495"/>
    <w:rsid w:val="004F76EE"/>
    <w:rsid w:val="005D35E1"/>
    <w:rsid w:val="00631B1D"/>
    <w:rsid w:val="006931DA"/>
    <w:rsid w:val="006B266C"/>
    <w:rsid w:val="006B5E8E"/>
    <w:rsid w:val="00726BD6"/>
    <w:rsid w:val="00790D9A"/>
    <w:rsid w:val="00794300"/>
    <w:rsid w:val="00794807"/>
    <w:rsid w:val="007A5B8D"/>
    <w:rsid w:val="007A7200"/>
    <w:rsid w:val="007E6B54"/>
    <w:rsid w:val="008064B8"/>
    <w:rsid w:val="00872BBA"/>
    <w:rsid w:val="008B1141"/>
    <w:rsid w:val="008E6717"/>
    <w:rsid w:val="00932117"/>
    <w:rsid w:val="009C2830"/>
    <w:rsid w:val="009E1BCD"/>
    <w:rsid w:val="00A3692B"/>
    <w:rsid w:val="00A52C0F"/>
    <w:rsid w:val="00AA35F2"/>
    <w:rsid w:val="00AE1071"/>
    <w:rsid w:val="00AF12BD"/>
    <w:rsid w:val="00B03F3A"/>
    <w:rsid w:val="00B12BBF"/>
    <w:rsid w:val="00B4180A"/>
    <w:rsid w:val="00B457D1"/>
    <w:rsid w:val="00B938F4"/>
    <w:rsid w:val="00BD5D14"/>
    <w:rsid w:val="00C1291F"/>
    <w:rsid w:val="00C3716D"/>
    <w:rsid w:val="00C4229D"/>
    <w:rsid w:val="00C50B1E"/>
    <w:rsid w:val="00C80925"/>
    <w:rsid w:val="00CA4682"/>
    <w:rsid w:val="00CB3363"/>
    <w:rsid w:val="00D13BD3"/>
    <w:rsid w:val="00DE6681"/>
    <w:rsid w:val="00E04481"/>
    <w:rsid w:val="00E460FE"/>
    <w:rsid w:val="00E4625A"/>
    <w:rsid w:val="00E55FE8"/>
    <w:rsid w:val="00E94134"/>
    <w:rsid w:val="00EE7F66"/>
    <w:rsid w:val="00F62C3F"/>
    <w:rsid w:val="00FC03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F4"/>
    <w:pPr>
      <w:spacing w:after="160" w:line="259" w:lineRule="auto"/>
    </w:pPr>
    <w:rPr>
      <w:rFonts w:cs="Calibri"/>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Accent3">
    <w:name w:val="Grid Table 5 Dark Accent 3"/>
    <w:uiPriority w:val="99"/>
    <w:rsid w:val="00C50B1E"/>
    <w:rPr>
      <w:rFonts w:eastAsia="Times New Roman" w:cs="Calibri"/>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style>
  <w:style w:type="paragraph" w:styleId="Title">
    <w:name w:val="Title"/>
    <w:basedOn w:val="Normal"/>
    <w:link w:val="TitleChar"/>
    <w:uiPriority w:val="99"/>
    <w:qFormat/>
    <w:rsid w:val="00C50B1E"/>
    <w:pPr>
      <w:framePr w:hSpace="180" w:wrap="auto" w:vAnchor="page" w:hAnchor="margin" w:y="974"/>
      <w:spacing w:after="0" w:line="240" w:lineRule="auto"/>
    </w:pPr>
    <w:rPr>
      <w:rFonts w:ascii="Calibri Light" w:eastAsia="Times New Roman" w:hAnsi="Calibri Light" w:cs="Calibri Light"/>
      <w:b/>
      <w:bCs/>
      <w:color w:val="000000"/>
      <w:kern w:val="28"/>
      <w:sz w:val="80"/>
      <w:szCs w:val="80"/>
      <w:lang w:val="en-US"/>
    </w:rPr>
  </w:style>
  <w:style w:type="character" w:customStyle="1" w:styleId="TitleChar">
    <w:name w:val="Title Char"/>
    <w:basedOn w:val="DefaultParagraphFont"/>
    <w:link w:val="Title"/>
    <w:uiPriority w:val="99"/>
    <w:locked/>
    <w:rsid w:val="00C50B1E"/>
    <w:rPr>
      <w:rFonts w:ascii="Calibri Light" w:hAnsi="Calibri Light" w:cs="Calibri Light"/>
      <w:b/>
      <w:bCs/>
      <w:color w:val="000000"/>
      <w:kern w:val="28"/>
      <w:sz w:val="80"/>
      <w:szCs w:val="80"/>
      <w:lang w:val="en-US"/>
    </w:rPr>
  </w:style>
  <w:style w:type="paragraph" w:styleId="ListParagraph">
    <w:name w:val="List Paragraph"/>
    <w:basedOn w:val="Normal"/>
    <w:uiPriority w:val="99"/>
    <w:qFormat/>
    <w:rsid w:val="005D35E1"/>
    <w:pPr>
      <w:ind w:left="720"/>
    </w:pPr>
  </w:style>
  <w:style w:type="table" w:styleId="TableGrid">
    <w:name w:val="Table Grid"/>
    <w:basedOn w:val="TableNormal"/>
    <w:uiPriority w:val="99"/>
    <w:rsid w:val="001978C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uiPriority w:val="99"/>
    <w:rsid w:val="00AE1071"/>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5">
    <w:name w:val="Plain Table 5"/>
    <w:uiPriority w:val="99"/>
    <w:rsid w:val="00AE1071"/>
    <w:rPr>
      <w:rFonts w:cs="Calibri"/>
      <w:sz w:val="20"/>
      <w:szCs w:val="20"/>
    </w:rPr>
    <w:tblPr>
      <w:tblStyleRowBandSize w:val="1"/>
      <w:tblStyleColBandSize w:val="1"/>
      <w:tblCellMar>
        <w:top w:w="0" w:type="dxa"/>
        <w:left w:w="108" w:type="dxa"/>
        <w:bottom w:w="0" w:type="dxa"/>
        <w:right w:w="108" w:type="dxa"/>
      </w:tblCellMar>
    </w:tblPr>
  </w:style>
  <w:style w:type="table" w:customStyle="1" w:styleId="GridTableLight">
    <w:name w:val="Grid Table Light"/>
    <w:uiPriority w:val="99"/>
    <w:rsid w:val="00AE1071"/>
    <w:rPr>
      <w:rFonts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rsid w:val="00AE107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E1071"/>
  </w:style>
  <w:style w:type="paragraph" w:styleId="Footer">
    <w:name w:val="footer"/>
    <w:basedOn w:val="Normal"/>
    <w:link w:val="FooterChar"/>
    <w:uiPriority w:val="99"/>
    <w:rsid w:val="00AE107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E10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Pages>
  <Words>2319</Words>
  <Characters>13222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de Remunerare </dc:title>
  <dc:subject/>
  <dc:creator>Adriana Paduraru</dc:creator>
  <cp:keywords/>
  <dc:description/>
  <cp:lastModifiedBy>win7</cp:lastModifiedBy>
  <cp:revision>7</cp:revision>
  <cp:lastPrinted>2021-03-17T13:45:00Z</cp:lastPrinted>
  <dcterms:created xsi:type="dcterms:W3CDTF">2021-03-11T11:27:00Z</dcterms:created>
  <dcterms:modified xsi:type="dcterms:W3CDTF">2021-03-17T13:46:00Z</dcterms:modified>
</cp:coreProperties>
</file>